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E1CFB">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highlight w:val="none"/>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21590</wp:posOffset>
                </wp:positionH>
                <wp:positionV relativeFrom="paragraph">
                  <wp:posOffset>2277110</wp:posOffset>
                </wp:positionV>
                <wp:extent cx="6120130" cy="0"/>
                <wp:effectExtent l="0" t="4445" r="0" b="508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1.7pt;margin-top:179.3pt;height:0pt;width:481.9pt;z-index:251662336;mso-width-relative:page;mso-height-relative:page;" filled="f" stroked="t" coordsize="21600,21600" o:gfxdata="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T2qddcAAAAJAQAADwAA&#10;AAAAAAABACAAAAAiAAAAZHJzL2Rvd25yZXYueG1sUEsBAhQAFAAAAAgAh07iQM4itmDeAQAAzwMA&#10;AA4AAAAAAAAAAQAgAAAAJgEAAGRycy9lMm9Eb2MueG1sUEsFBgAAAAAGAAYAWQEAAHYFAAAAAA==&#10;">
                <v:fill on="f" focussize="0,0"/>
                <v:stroke color="#000000" joinstyle="round"/>
                <v:imagedata o:title=""/>
                <o:lock v:ext="edit" aspectratio="f"/>
              </v:line>
            </w:pict>
          </mc:Fallback>
        </mc:AlternateContent>
      </w:r>
    </w:p>
    <w:p w14:paraId="63BA8918">
      <w:pPr>
        <w:autoSpaceDE/>
        <w:autoSpaceDN/>
        <w:rPr>
          <w:rFonts w:ascii="Times New Roman" w:hAnsi="Times New Roman"/>
          <w:color w:val="000000" w:themeColor="text1"/>
          <w14:textFill>
            <w14:solidFill>
              <w14:schemeClr w14:val="tx1"/>
            </w14:solidFill>
          </w14:textFill>
        </w:rPr>
      </w:pPr>
    </w:p>
    <w:p w14:paraId="062A5B9A">
      <w:pPr>
        <w:autoSpaceDE/>
        <w:autoSpaceDN/>
        <w:rPr>
          <w:rFonts w:ascii="Times New Roman" w:hAnsi="Times New Roman"/>
          <w:color w:val="000000" w:themeColor="text1"/>
          <w14:textFill>
            <w14:solidFill>
              <w14:schemeClr w14:val="tx1"/>
            </w14:solidFill>
          </w14:textFill>
        </w:rPr>
      </w:pPr>
    </w:p>
    <w:p w14:paraId="2208DC6B">
      <w:pPr>
        <w:pStyle w:val="13"/>
        <w:framePr w:hSpace="180" w:vSpace="180" w:wrap="around" w:vAnchor="margin" w:hAnchor="margin" w:y="1" w:anchorLock="1"/>
        <w:pBdr>
          <w:bottom w:val="none" w:color="auto" w:sz="0" w:space="0"/>
        </w:pBdr>
        <w:tabs>
          <w:tab w:val="clear" w:pos="4153"/>
          <w:tab w:val="clear" w:pos="8306"/>
        </w:tabs>
        <w:ind w:firstLine="0" w:firstLineChars="0"/>
        <w:jc w:val="left"/>
        <w:rPr>
          <w:rFonts w:ascii="Times New Roman" w:hAnsi="Times New Roman" w:eastAsia="黑体"/>
          <w:color w:val="000000" w:themeColor="text1"/>
          <w:sz w:val="21"/>
          <w:szCs w:val="21"/>
          <w14:textFill>
            <w14:solidFill>
              <w14:schemeClr w14:val="tx1"/>
            </w14:solidFill>
          </w14:textFill>
        </w:rPr>
      </w:pPr>
      <w:bookmarkStart w:id="0" w:name="c1"/>
      <w:r>
        <w:rPr>
          <w:rFonts w:hint="eastAsia" w:ascii="Times New Roman" w:hAnsi="Times New Roman" w:eastAsia="黑体"/>
          <w:color w:val="000000" w:themeColor="text1"/>
          <w:sz w:val="21"/>
          <w:szCs w:val="21"/>
          <w14:textFill>
            <w14:solidFill>
              <w14:schemeClr w14:val="tx1"/>
            </w14:solidFill>
          </w14:textFill>
        </w:rPr>
        <w:t>ICS 71.100.50</w:t>
      </w:r>
    </w:p>
    <w:p w14:paraId="48FCB48F">
      <w:pPr>
        <w:pStyle w:val="13"/>
        <w:framePr w:hSpace="180" w:vSpace="180" w:wrap="around" w:vAnchor="margin" w:hAnchor="margin" w:y="1" w:anchorLock="1"/>
        <w:pBdr>
          <w:bottom w:val="none" w:color="auto" w:sz="0" w:space="0"/>
        </w:pBdr>
        <w:tabs>
          <w:tab w:val="clear" w:pos="4153"/>
          <w:tab w:val="clear" w:pos="8306"/>
        </w:tabs>
        <w:ind w:firstLine="0" w:firstLineChars="0"/>
        <w:jc w:val="left"/>
        <w:rPr>
          <w:rFonts w:ascii="Times New Roman" w:hAnsi="Times New Roman" w:eastAsia="黑体"/>
          <w:color w:val="000000" w:themeColor="text1"/>
          <w:sz w:val="21"/>
          <w:szCs w:val="21"/>
          <w14:textFill>
            <w14:solidFill>
              <w14:schemeClr w14:val="tx1"/>
            </w14:solidFill>
          </w14:textFill>
        </w:rPr>
      </w:pPr>
      <w:r>
        <w:rPr>
          <w:rFonts w:hint="eastAsia" w:ascii="Times New Roman" w:hAnsi="Times New Roman" w:eastAsia="黑体"/>
          <w:color w:val="000000" w:themeColor="text1"/>
          <w:sz w:val="21"/>
          <w:szCs w:val="21"/>
          <w14:textFill>
            <w14:solidFill>
              <w14:schemeClr w14:val="tx1"/>
            </w14:solidFill>
          </w14:textFill>
        </w:rPr>
        <w:t>CCS B 71</w:t>
      </w:r>
    </w:p>
    <w:p w14:paraId="21A7BAED">
      <w:pPr>
        <w:pStyle w:val="38"/>
        <w:framePr w:wrap="around"/>
        <w:rPr>
          <w:rFonts w:ascii="Times New Roman" w:hAnsi="Times New Roman"/>
          <w:b w:val="0"/>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fldChar w:fldCharType="begin">
          <w:ffData>
            <w:enabled/>
            <w:calcOnExit w:val="0"/>
            <w:entryMacro w:val="ShowHelp15"/>
            <w:textInput>
              <w:maxLength w:val="2"/>
            </w:textInput>
          </w:ffData>
        </w:fldChar>
      </w:r>
      <w:r>
        <w:rPr>
          <w:rFonts w:ascii="Times New Roman" w:hAnsi="Times New Roman"/>
          <w:b/>
          <w:bCs/>
          <w:color w:val="000000" w:themeColor="text1"/>
          <w14:textFill>
            <w14:solidFill>
              <w14:schemeClr w14:val="tx1"/>
            </w14:solidFill>
          </w14:textFill>
        </w:rPr>
        <w:instrText xml:space="preserve"> FORMTEXT </w:instrText>
      </w:r>
      <w:r>
        <w:rPr>
          <w:rFonts w:ascii="Times New Roman" w:hAnsi="Times New Roman"/>
          <w:b/>
          <w:bCs/>
          <w:color w:val="000000" w:themeColor="text1"/>
          <w14:textFill>
            <w14:solidFill>
              <w14:schemeClr w14:val="tx1"/>
            </w14:solidFill>
          </w14:textFill>
        </w:rPr>
        <w:fldChar w:fldCharType="separate"/>
      </w:r>
      <w:r>
        <w:rPr>
          <w:rFonts w:ascii="Times New Roman" w:hAnsi="Times New Roman"/>
          <w:b/>
          <w:bCs/>
          <w:color w:val="000000" w:themeColor="text1"/>
          <w14:textFill>
            <w14:solidFill>
              <w14:schemeClr w14:val="tx1"/>
            </w14:solidFill>
          </w14:textFill>
        </w:rPr>
        <w:t>JC</w:t>
      </w:r>
      <w:r>
        <w:rPr>
          <w:rFonts w:ascii="Times New Roman" w:hAnsi="Times New Roman"/>
          <w:b/>
          <w:bCs/>
          <w:color w:val="000000" w:themeColor="text1"/>
          <w14:textFill>
            <w14:solidFill>
              <w14:schemeClr w14:val="tx1"/>
            </w14:solidFill>
          </w14:textFill>
        </w:rPr>
        <w:fldChar w:fldCharType="end"/>
      </w:r>
      <w:bookmarkEnd w:id="0"/>
    </w:p>
    <w:p w14:paraId="3ABADBEE">
      <w:pPr>
        <w:pStyle w:val="39"/>
        <w:framePr w:wrap="around"/>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中华人民共和国建材行业标准</w:t>
      </w:r>
    </w:p>
    <w:p w14:paraId="2D941E64">
      <w:pPr>
        <w:pStyle w:val="85"/>
        <w:framePr w:w="9140" w:h="1242" w:hRule="exact" w:hSpace="284" w:vSpace="0" w:wrap="around" w:x="1645" w:y="2910" w:anchorLock="1"/>
        <w:rPr>
          <w:rFonts w:ascii="Times New Roman"/>
          <w:color w:val="000000" w:themeColor="text1"/>
          <w:lang w:val="fr-FR" w:bidi="ar"/>
          <w14:textFill>
            <w14:solidFill>
              <w14:schemeClr w14:val="tx1"/>
            </w14:solidFill>
          </w14:textFill>
        </w:rPr>
      </w:pPr>
    </w:p>
    <w:tbl>
      <w:tblPr>
        <w:tblStyle w:val="22"/>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55BB2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265EAF82">
            <w:pPr>
              <w:pStyle w:val="84"/>
              <w:framePr w:w="9140" w:h="1242" w:hRule="exact" w:hSpace="284" w:vSpace="0" w:wrap="around" w:x="1645" w:y="2910" w:anchorLock="1"/>
              <w:rPr>
                <w:rFonts w:ascii="Times New Roman"/>
                <w:color w:val="000000" w:themeColor="text1"/>
                <w:lang w:val="fr-FR"/>
                <w14:textFill>
                  <w14:solidFill>
                    <w14:schemeClr w14:val="tx1"/>
                  </w14:solidFill>
                </w14:textFill>
              </w:rPr>
            </w:pPr>
            <w:r>
              <w:rPr>
                <w:rFonts w:hint="eastAsia" w:ascii="Times New Roman"/>
                <w:color w:val="000000" w:themeColor="text1"/>
                <w:lang w:val="fr-FR"/>
                <w14:textFill>
                  <w14:solidFill>
                    <w14:schemeClr w14:val="tx1"/>
                  </w14:solidFill>
                </w14:textFill>
              </w:rPr>
              <w:t>JC/T</w:t>
            </w:r>
            <w:r>
              <w:rPr>
                <w:rFonts w:hint="eastAsia" w:ascii="Times New Roman"/>
                <w:color w:val="000000" w:themeColor="text1"/>
                <w:lang w:val="en-US" w:eastAsia="zh-CN"/>
                <w14:textFill>
                  <w14:solidFill>
                    <w14:schemeClr w14:val="tx1"/>
                  </w14:solidFill>
                </w14:textFill>
              </w:rPr>
              <w:t xml:space="preserve"> </w:t>
            </w:r>
            <w:r>
              <w:rPr>
                <w:rFonts w:ascii="Times New Roman"/>
                <w:color w:val="000000" w:themeColor="text1"/>
                <w:lang w:val="fr-FR"/>
                <w14:textFill>
                  <w14:solidFill>
                    <w14:schemeClr w14:val="tx1"/>
                  </w14:solidFill>
                </w14:textFill>
              </w:rPr>
              <w:t>XXXX—XXXX</w:t>
            </w:r>
          </w:p>
          <w:p w14:paraId="197FC527">
            <w:pPr>
              <w:pStyle w:val="41"/>
              <w:framePr w:wrap="around"/>
              <w:rPr>
                <w:rFonts w:ascii="Times New Roman" w:hAnsi="Times New Roman"/>
                <w:color w:val="000000" w:themeColor="text1"/>
                <w14:textFill>
                  <w14:solidFill>
                    <w14:schemeClr w14:val="tx1"/>
                  </w14:solidFill>
                </w14:textFill>
              </w:rPr>
            </w:pPr>
            <w:r>
              <w:rPr>
                <w:rFonts w:hint="eastAsia" w:ascii="Times New Roman" w:hAnsi="Times New Roman"/>
                <w:bCs/>
                <w:color w:val="000000" w:themeColor="text1"/>
                <w:szCs w:val="28"/>
                <w:lang w:bidi="ar"/>
                <w14:textFill>
                  <w14:solidFill>
                    <w14:schemeClr w14:val="tx1"/>
                  </w14:solidFill>
                </w14:textFill>
              </w:rPr>
              <w:t>代替SB/T 1043</w:t>
            </w:r>
            <w:r>
              <w:rPr>
                <w:rFonts w:ascii="Times New Roman" w:hAnsi="Times New Roman"/>
                <w:bCs/>
                <w:color w:val="000000" w:themeColor="text1"/>
                <w:szCs w:val="28"/>
                <w:lang w:bidi="ar"/>
                <w14:textFill>
                  <w14:solidFill>
                    <w14:schemeClr w14:val="tx1"/>
                  </w14:solidFill>
                </w14:textFill>
              </w:rPr>
              <w:t>4</w:t>
            </w:r>
            <w:r>
              <w:rPr>
                <w:rFonts w:hint="eastAsia" w:ascii="Times New Roman" w:hAnsi="Times New Roman"/>
                <w:bCs/>
                <w:color w:val="000000" w:themeColor="text1"/>
                <w:szCs w:val="28"/>
                <w:lang w:bidi="ar"/>
                <w14:textFill>
                  <w14:solidFill>
                    <w14:schemeClr w14:val="tx1"/>
                  </w14:solidFill>
                </w14:textFill>
              </w:rPr>
              <w:t>-2007</w:t>
            </w:r>
          </w:p>
        </w:tc>
      </w:tr>
    </w:tbl>
    <w:p w14:paraId="07188E2D">
      <w:pPr>
        <w:pStyle w:val="40"/>
        <w:framePr w:wrap="around"/>
        <w:rPr>
          <w:rFonts w:ascii="Times New Roman" w:hAnsi="Times New Roman"/>
          <w:color w:val="000000" w:themeColor="text1"/>
          <w14:textFill>
            <w14:solidFill>
              <w14:schemeClr w14:val="tx1"/>
            </w14:solidFill>
          </w14:textFill>
        </w:rPr>
      </w:pPr>
    </w:p>
    <w:p w14:paraId="54130D71">
      <w:pPr>
        <w:pStyle w:val="40"/>
        <w:framePr w:wrap="around"/>
        <w:rPr>
          <w:rFonts w:ascii="Times New Roman" w:hAnsi="Times New Roman"/>
          <w:color w:val="000000" w:themeColor="text1"/>
          <w14:textFill>
            <w14:solidFill>
              <w14:schemeClr w14:val="tx1"/>
            </w14:solidFill>
          </w14:textFill>
        </w:rPr>
      </w:pPr>
    </w:p>
    <w:p w14:paraId="79F7919F">
      <w:pPr>
        <w:pStyle w:val="42"/>
        <w:framePr w:w="9293" w:wrap="around" w:x="1699"/>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木材防腐剂 铜硼唑-A型（CBA-A）</w:t>
      </w:r>
    </w:p>
    <w:tbl>
      <w:tblPr>
        <w:tblStyle w:val="22"/>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0902A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tcPr>
          <w:p w14:paraId="26EDB9EE">
            <w:pPr>
              <w:pStyle w:val="45"/>
              <w:framePr w:w="9293" w:wrap="around" w:x="1699"/>
              <w:jc w:val="center"/>
              <w:rPr>
                <w:rFonts w:ascii="Times New Roman" w:hAnsi="Times New Roman" w:eastAsia="微软雅黑"/>
                <w:color w:val="000000" w:themeColor="text1"/>
                <w:sz w:val="28"/>
                <w14:textFill>
                  <w14:solidFill>
                    <w14:schemeClr w14:val="tx1"/>
                  </w14:solidFill>
                </w14:textFill>
              </w:rPr>
            </w:pPr>
            <w:r>
              <w:rPr>
                <w:rFonts w:ascii="Times New Roman" w:hAnsi="Times New Roman" w:eastAsia="黑体"/>
                <w:color w:val="000000" w:themeColor="text1"/>
                <w:sz w:val="28"/>
                <w14:textFill>
                  <w14:solidFill>
                    <w14:schemeClr w14:val="tx1"/>
                  </w14:solidFill>
                </w14:textFill>
              </w:rP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a:effectLst/>
                            </wps:spPr>
                            <wps:txbx>
                              <w:txbxContent>
                                <w:p w14:paraId="4A93022D"/>
                              </w:txbxContent>
                            </wps:txbx>
                            <wps:bodyPr vert="horz" wrap="square" anchor="t" anchorCtr="0" upright="1"/>
                          </wps:wsp>
                        </a:graphicData>
                      </a:graphic>
                    </wp:anchor>
                  </w:drawing>
                </mc:Choice>
                <mc:Fallback>
                  <w:pict>
                    <v:rect id="RQ" o:spid="_x0000_s1026" o:spt="1" style="position:absolute;left:0pt;margin-left:173.3pt;margin-top:337.15pt;height:20pt;width:150pt;z-index:-251657216;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f1/fg1wAAAAsBAAAPAAAAAAAAAAEAIAAAACIAAABk&#10;cnMvZG93bnJldi54bWxQSwECFAAUAAAACACHTuJAcc3qtc4BAACuAwAADgAAAAAAAAABACAAAAAm&#10;AQAAZHJzL2Uyb0RvYy54bWxQSwUGAAAAAAYABgBZAQAAZgUAAAAA&#10;">
                      <v:fill on="t" focussize="0,0"/>
                      <v:stroke on="f"/>
                      <v:imagedata o:title=""/>
                      <o:lock v:ext="edit" aspectratio="f"/>
                      <v:textbox>
                        <w:txbxContent>
                          <w:p w14:paraId="4A93022D"/>
                        </w:txbxContent>
                      </v:textbox>
                      <w10:anchorlock/>
                    </v:rect>
                  </w:pict>
                </mc:Fallback>
              </mc:AlternateContent>
            </w:r>
            <w:r>
              <w:rPr>
                <w:rFonts w:ascii="Times New Roman" w:hAnsi="Times New Roman" w:eastAsia="微软雅黑"/>
                <w:color w:val="000000" w:themeColor="text1"/>
                <w:sz w:val="28"/>
                <w14:textFill>
                  <w14:solidFill>
                    <w14:schemeClr w14:val="tx1"/>
                  </w14:solidFill>
                </w14:textFill>
              </w:rPr>
              <w:t>Wood preservative-Copper Boron Azole-Type A(CBA-A)</w:t>
            </w:r>
          </w:p>
        </w:tc>
      </w:tr>
      <w:tr w14:paraId="1BBD87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4718C154">
            <w:pPr>
              <w:pStyle w:val="46"/>
              <w:framePr w:w="9293" w:wrap="around" w:x="1699"/>
              <w:jc w:val="center"/>
              <w:rPr>
                <w:rFonts w:hint="eastAsia" w:ascii="Times New Roman" w:hAnsi="Times New Roman" w:eastAsia="宋体"/>
                <w:color w:val="000000" w:themeColor="text1"/>
                <w:lang w:eastAsia="zh-CN"/>
                <w14:textFill>
                  <w14:solidFill>
                    <w14:schemeClr w14:val="tx1"/>
                  </w14:solidFill>
                </w14:textFill>
              </w:rPr>
            </w:pP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征求意见稿</w:t>
            </w:r>
            <w:r>
              <w:rPr>
                <w:rFonts w:hint="eastAsia" w:ascii="Times New Roman" w:hAnsi="Times New Roman"/>
                <w:color w:val="000000" w:themeColor="text1"/>
                <w:lang w:eastAsia="zh-CN"/>
                <w14:textFill>
                  <w14:solidFill>
                    <w14:schemeClr w14:val="tx1"/>
                  </w14:solidFill>
                </w14:textFill>
              </w:rPr>
              <w:t>）</w:t>
            </w:r>
          </w:p>
        </w:tc>
      </w:tr>
    </w:tbl>
    <w:p w14:paraId="510197F2">
      <w:pPr>
        <w:pStyle w:val="47"/>
        <w:framePr w:wrap="around" w:vAnchor="text" w:hAnchor="page" w:x="1748" w:y="9797"/>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XXXX</w:t>
      </w:r>
      <w:r>
        <w:rPr>
          <w:rFonts w:ascii="Times New Roman" w:hAnsi="Times New Roman"/>
          <w:color w:val="000000" w:themeColor="text1"/>
          <w:spacing w:val="20"/>
          <w14:textFill>
            <w14:solidFill>
              <w14:schemeClr w14:val="tx1"/>
            </w14:solidFill>
          </w14:textFill>
        </w:rPr>
        <w:t>-</w:t>
      </w:r>
      <w:r>
        <w:rPr>
          <w:rFonts w:ascii="Times New Roman" w:hAnsi="Times New Roman"/>
          <w:color w:val="000000" w:themeColor="text1"/>
          <w14:textFill>
            <w14:solidFill>
              <w14:schemeClr w14:val="tx1"/>
            </w14:solidFill>
          </w14:textFill>
        </w:rPr>
        <w:t>XX</w:t>
      </w:r>
      <w:r>
        <w:rPr>
          <w:rFonts w:ascii="Times New Roman" w:hAnsi="Times New Roman"/>
          <w:color w:val="000000" w:themeColor="text1"/>
          <w:spacing w:val="20"/>
          <w14:textFill>
            <w14:solidFill>
              <w14:schemeClr w14:val="tx1"/>
            </w14:solidFill>
          </w14:textFill>
        </w:rPr>
        <w:t>-</w:t>
      </w:r>
      <w:r>
        <w:rPr>
          <w:rFonts w:ascii="Times New Roman" w:hAnsi="Times New Roman"/>
          <w:color w:val="000000" w:themeColor="text1"/>
          <w14:textFill>
            <w14:solidFill>
              <w14:schemeClr w14:val="tx1"/>
            </w14:solidFill>
          </w14:textFill>
        </w:rPr>
        <w:t>XX</w:t>
      </w:r>
      <w:r>
        <w:rPr>
          <w:rFonts w:hint="eastAsia" w:ascii="Times New Roman" w:hAnsi="Times New Roman"/>
          <w:color w:val="000000" w:themeColor="text1"/>
          <w:spacing w:val="20"/>
          <w14:textFill>
            <w14:solidFill>
              <w14:schemeClr w14:val="tx1"/>
            </w14:solidFill>
          </w14:textFill>
        </w:rPr>
        <w:t>发布</w:t>
      </w:r>
    </w:p>
    <w:p w14:paraId="452F0AF6">
      <w:pPr>
        <w:pStyle w:val="49"/>
        <w:framePr w:wrap="around" w:vAnchor="text" w:hAnchor="page" w:x="7289" w:y="9854"/>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XXXX</w:t>
      </w:r>
      <w:r>
        <w:rPr>
          <w:rFonts w:ascii="Times New Roman" w:hAnsi="Times New Roman"/>
          <w:color w:val="000000" w:themeColor="text1"/>
          <w:spacing w:val="20"/>
          <w14:textFill>
            <w14:solidFill>
              <w14:schemeClr w14:val="tx1"/>
            </w14:solidFill>
          </w14:textFill>
        </w:rPr>
        <w:t>-</w:t>
      </w:r>
      <w:r>
        <w:rPr>
          <w:rFonts w:ascii="Times New Roman" w:hAnsi="Times New Roman"/>
          <w:color w:val="000000" w:themeColor="text1"/>
          <w14:textFill>
            <w14:solidFill>
              <w14:schemeClr w14:val="tx1"/>
            </w14:solidFill>
          </w14:textFill>
        </w:rPr>
        <w:t>XX</w:t>
      </w:r>
      <w:r>
        <w:rPr>
          <w:rFonts w:ascii="Times New Roman" w:hAnsi="Times New Roman"/>
          <w:color w:val="000000" w:themeColor="text1"/>
          <w:spacing w:val="20"/>
          <w14:textFill>
            <w14:solidFill>
              <w14:schemeClr w14:val="tx1"/>
            </w14:solidFill>
          </w14:textFill>
        </w:rPr>
        <w:t>-</w:t>
      </w:r>
      <w:r>
        <w:rPr>
          <w:rFonts w:ascii="Times New Roman" w:hAnsi="Times New Roman"/>
          <w:color w:val="000000" w:themeColor="text1"/>
          <w14:textFill>
            <w14:solidFill>
              <w14:schemeClr w14:val="tx1"/>
            </w14:solidFill>
          </w14:textFill>
        </w:rPr>
        <w:t>XX</w:t>
      </w:r>
      <w:r>
        <w:rPr>
          <w:rFonts w:hint="eastAsia" w:ascii="Times New Roman" w:hAnsi="Times New Roman"/>
          <w:color w:val="000000" w:themeColor="text1"/>
          <w:spacing w:val="20"/>
          <w:w w:val="110"/>
          <w14:textFill>
            <w14:solidFill>
              <w14:schemeClr w14:val="tx1"/>
            </w14:solidFill>
          </w14:textFill>
        </w:rPr>
        <w:t>实施</w:t>
      </w:r>
    </w:p>
    <w:p w14:paraId="38C4565C">
      <w:pPr>
        <w:pStyle w:val="51"/>
        <w:framePr w:wrap="around" w:x="2186" w:y="15211"/>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w w:val="100"/>
          <w14:textFill>
            <w14:solidFill>
              <w14:schemeClr w14:val="tx1"/>
            </w14:solidFill>
          </w14:textFill>
        </w:rPr>
        <w:t>中华人民共和国工业和信息化部</w:t>
      </w:r>
      <w:r>
        <w:rPr>
          <w:rFonts w:ascii="Times New Roman" w:hAnsi="Times New Roman"/>
          <w:color w:val="000000" w:themeColor="text1"/>
          <w:w w:val="100"/>
          <w:szCs w:val="28"/>
          <w14:textFill>
            <w14:solidFill>
              <w14:schemeClr w14:val="tx1"/>
            </w14:solidFill>
          </w14:textFill>
        </w:rPr>
        <w:t>  </w:t>
      </w:r>
      <w:r>
        <w:rPr>
          <w:rStyle w:val="55"/>
          <w:rFonts w:hint="eastAsia" w:ascii="Times New Roman" w:hAnsi="Times New Roman"/>
          <w:color w:val="000000" w:themeColor="text1"/>
          <w14:textFill>
            <w14:solidFill>
              <w14:schemeClr w14:val="tx1"/>
            </w14:solidFill>
          </w14:textFill>
        </w:rPr>
        <w:t>发</w:t>
      </w:r>
      <w:r>
        <w:rPr>
          <w:rStyle w:val="55"/>
          <w:rFonts w:hint="eastAsia" w:ascii="Times New Roman" w:hAnsi="Times New Roman"/>
          <w:color w:val="000000" w:themeColor="text1"/>
          <w:spacing w:val="0"/>
          <w14:textFill>
            <w14:solidFill>
              <w14:schemeClr w14:val="tx1"/>
            </w14:solidFill>
          </w14:textFill>
        </w:rPr>
        <w:t>布</w:t>
      </w:r>
    </w:p>
    <w:p w14:paraId="5F31DCD7">
      <w:pPr>
        <w:autoSpaceDE/>
        <w:autoSpaceDN/>
        <w:rPr>
          <w:rFonts w:ascii="Times New Roman" w:hAnsi="Times New Roman"/>
          <w:color w:val="000000" w:themeColor="text1"/>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fmt="upperRoman" w:start="1"/>
          <w:cols w:space="720" w:num="1"/>
          <w:docGrid w:type="lines" w:linePitch="312" w:charSpace="0"/>
        </w:sectPr>
      </w:pPr>
      <w:r>
        <w:rPr>
          <w:rFonts w:ascii="Times New Roman" w:hAnsi="Times New Roman"/>
          <w:color w:val="000000" w:themeColor="text1"/>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column">
                  <wp:posOffset>161290</wp:posOffset>
                </wp:positionH>
                <wp:positionV relativeFrom="page">
                  <wp:posOffset>9430385</wp:posOffset>
                </wp:positionV>
                <wp:extent cx="6120130" cy="0"/>
                <wp:effectExtent l="0" t="4445" r="0" b="508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2.7pt;margin-top:742.55pt;height:0pt;width:481.9pt;mso-position-vertical-relative:page;z-index:251660288;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C96aTXAAAADAEAAA8AAAAAAAAAAQAgAAAAIgAAAGRycy9kb3ducmV2LnhtbFBLAQIUABQA&#10;AAAIAIdO4kDaOJHc8QEAAOgDAAAOAAAAAAAAAAEAIAAAACYBAABkcnMvZTJvRG9jLnhtbFBLBQYA&#10;AAAABgAGAFkBAACJBQAAAAA=&#10;">
                <v:fill on="f" focussize="0,0"/>
                <v:stroke color="#000000" joinstyle="round"/>
                <v:imagedata o:title=""/>
                <o:lock v:ext="edit" aspectratio="f"/>
                <w10:anchorlock/>
              </v:line>
            </w:pict>
          </mc:Fallback>
        </mc:AlternateContent>
      </w:r>
    </w:p>
    <w:p w14:paraId="16F200A5">
      <w:pPr>
        <w:pStyle w:val="56"/>
        <w:tabs>
          <w:tab w:val="center" w:pos="4677"/>
          <w:tab w:val="left" w:pos="7092"/>
        </w:tabs>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b/>
      </w:r>
      <w:bookmarkStart w:id="1" w:name="_Toc65048651"/>
      <w:bookmarkStart w:id="2" w:name="_Toc65048765"/>
      <w:bookmarkStart w:id="3" w:name="_Toc103159534"/>
      <w:r>
        <w:rPr>
          <w:rFonts w:hint="eastAsia" w:ascii="Times New Roman" w:hAnsi="Times New Roman"/>
          <w:color w:val="000000" w:themeColor="text1"/>
          <w14:textFill>
            <w14:solidFill>
              <w14:schemeClr w14:val="tx1"/>
            </w14:solidFill>
          </w14:textFill>
        </w:rPr>
        <w:t>前</w:t>
      </w:r>
      <w:bookmarkStart w:id="4" w:name="BKQY"/>
      <w:r>
        <w:rPr>
          <w:rFonts w:ascii="Times New Roman" w:hAnsi="Times New Roman"/>
          <w:color w:val="000000" w:themeColor="text1"/>
          <w14:textFill>
            <w14:solidFill>
              <w14:schemeClr w14:val="tx1"/>
            </w14:solidFill>
          </w14:textFill>
        </w:rPr>
        <w:t>  </w:t>
      </w:r>
      <w:r>
        <w:rPr>
          <w:rFonts w:hint="eastAsia" w:ascii="Times New Roman" w:hAnsi="Times New Roman"/>
          <w:color w:val="000000" w:themeColor="text1"/>
          <w14:textFill>
            <w14:solidFill>
              <w14:schemeClr w14:val="tx1"/>
            </w14:solidFill>
          </w14:textFill>
        </w:rPr>
        <w:t>言</w:t>
      </w:r>
      <w:bookmarkEnd w:id="1"/>
      <w:bookmarkEnd w:id="2"/>
      <w:bookmarkEnd w:id="3"/>
      <w:bookmarkEnd w:id="4"/>
      <w:r>
        <w:rPr>
          <w:rFonts w:ascii="Times New Roman" w:hAnsi="Times New Roman"/>
          <w:color w:val="000000" w:themeColor="text1"/>
          <w14:textFill>
            <w14:solidFill>
              <w14:schemeClr w14:val="tx1"/>
            </w14:solidFill>
          </w14:textFill>
        </w:rPr>
        <w:tab/>
      </w:r>
    </w:p>
    <w:p w14:paraId="5D0F79EE">
      <w:pPr>
        <w:pStyle w:val="65"/>
        <w:widowControl/>
        <w:autoSpaceDE w:val="0"/>
        <w:autoSpaceDN w:val="0"/>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本文件按照GB/T1.1—2020《标准化工作导则第1部分：标准化文件的结构和起草规则》的规定起草。</w:t>
      </w:r>
    </w:p>
    <w:p w14:paraId="35C57DF2">
      <w:pPr>
        <w:pStyle w:val="65"/>
        <w:widowControl/>
        <w:autoSpaceDE w:val="0"/>
        <w:autoSpaceDN w:val="0"/>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本文件代替SB/T 1043</w:t>
      </w:r>
      <w:r>
        <w:rPr>
          <w:rFonts w:ascii="Times New Roman" w:hAnsi="Times New Roman" w:cs="Times New Roman"/>
          <w:color w:val="000000" w:themeColor="text1"/>
          <w:kern w:val="0"/>
          <w:szCs w:val="20"/>
          <w14:textFill>
            <w14:solidFill>
              <w14:schemeClr w14:val="tx1"/>
            </w14:solidFill>
          </w14:textFill>
        </w:rPr>
        <w:t>4</w:t>
      </w:r>
      <w:r>
        <w:rPr>
          <w:rFonts w:hint="eastAsia" w:ascii="Times New Roman" w:hAnsi="Times New Roman" w:cs="Times New Roman"/>
          <w:color w:val="000000" w:themeColor="text1"/>
          <w:kern w:val="0"/>
          <w:szCs w:val="20"/>
          <w14:textFill>
            <w14:solidFill>
              <w14:schemeClr w14:val="tx1"/>
            </w14:solidFill>
          </w14:textFill>
        </w:rPr>
        <w:t>-2007《木材防腐剂 铜硼唑-</w:t>
      </w:r>
      <w:r>
        <w:rPr>
          <w:rFonts w:ascii="Times New Roman" w:hAnsi="Times New Roman" w:cs="Times New Roman"/>
          <w:color w:val="000000" w:themeColor="text1"/>
          <w:kern w:val="0"/>
          <w:szCs w:val="20"/>
          <w14:textFill>
            <w14:solidFill>
              <w14:schemeClr w14:val="tx1"/>
            </w14:solidFill>
          </w14:textFill>
        </w:rPr>
        <w:t>A</w:t>
      </w:r>
      <w:r>
        <w:rPr>
          <w:rFonts w:hint="eastAsia" w:ascii="Times New Roman" w:hAnsi="Times New Roman" w:cs="Times New Roman"/>
          <w:color w:val="000000" w:themeColor="text1"/>
          <w:kern w:val="0"/>
          <w:szCs w:val="20"/>
          <w14:textFill>
            <w14:solidFill>
              <w14:schemeClr w14:val="tx1"/>
            </w14:solidFill>
          </w14:textFill>
        </w:rPr>
        <w:t>型（C</w:t>
      </w:r>
      <w:r>
        <w:rPr>
          <w:rFonts w:ascii="Times New Roman" w:hAnsi="Times New Roman" w:cs="Times New Roman"/>
          <w:color w:val="000000" w:themeColor="text1"/>
          <w:kern w:val="0"/>
          <w:szCs w:val="20"/>
          <w14:textFill>
            <w14:solidFill>
              <w14:schemeClr w14:val="tx1"/>
            </w14:solidFill>
          </w14:textFill>
        </w:rPr>
        <w:t>B</w:t>
      </w:r>
      <w:r>
        <w:rPr>
          <w:rFonts w:hint="eastAsia" w:ascii="Times New Roman" w:hAnsi="Times New Roman" w:cs="Times New Roman"/>
          <w:color w:val="000000" w:themeColor="text1"/>
          <w:kern w:val="0"/>
          <w:szCs w:val="20"/>
          <w14:textFill>
            <w14:solidFill>
              <w14:schemeClr w14:val="tx1"/>
            </w14:solidFill>
          </w14:textFill>
        </w:rPr>
        <w:t>A-</w:t>
      </w:r>
      <w:r>
        <w:rPr>
          <w:rFonts w:ascii="Times New Roman" w:hAnsi="Times New Roman" w:cs="Times New Roman"/>
          <w:color w:val="000000" w:themeColor="text1"/>
          <w:kern w:val="0"/>
          <w:szCs w:val="20"/>
          <w14:textFill>
            <w14:solidFill>
              <w14:schemeClr w14:val="tx1"/>
            </w14:solidFill>
          </w14:textFill>
        </w:rPr>
        <w:t>A</w:t>
      </w:r>
      <w:r>
        <w:rPr>
          <w:rFonts w:hint="eastAsia" w:ascii="Times New Roman" w:hAnsi="Times New Roman" w:cs="Times New Roman"/>
          <w:color w:val="000000" w:themeColor="text1"/>
          <w:kern w:val="0"/>
          <w:szCs w:val="20"/>
          <w14:textFill>
            <w14:solidFill>
              <w14:schemeClr w14:val="tx1"/>
            </w14:solidFill>
          </w14:textFill>
        </w:rPr>
        <w:t>）》，与SB/T 1043</w:t>
      </w:r>
      <w:r>
        <w:rPr>
          <w:rFonts w:ascii="Times New Roman" w:hAnsi="Times New Roman" w:cs="Times New Roman"/>
          <w:color w:val="000000" w:themeColor="text1"/>
          <w:kern w:val="0"/>
          <w:szCs w:val="20"/>
          <w14:textFill>
            <w14:solidFill>
              <w14:schemeClr w14:val="tx1"/>
            </w14:solidFill>
          </w14:textFill>
        </w:rPr>
        <w:t>4</w:t>
      </w:r>
      <w:r>
        <w:rPr>
          <w:rFonts w:hint="eastAsia" w:ascii="Times New Roman" w:hAnsi="Times New Roman" w:cs="Times New Roman"/>
          <w:color w:val="000000" w:themeColor="text1"/>
          <w:kern w:val="0"/>
          <w:szCs w:val="20"/>
          <w14:textFill>
            <w14:solidFill>
              <w14:schemeClr w14:val="tx1"/>
            </w14:solidFill>
          </w14:textFill>
        </w:rPr>
        <w:t>-2007相比，除结构调整和编辑性改动外，主要技术变化如下：</w:t>
      </w:r>
    </w:p>
    <w:p w14:paraId="747D88A0">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ascii="Times New Roman" w:hAnsi="Times New Roman" w:cs="Times New Roman"/>
          <w:color w:val="000000" w:themeColor="text1"/>
          <w:kern w:val="0"/>
          <w:szCs w:val="20"/>
          <w14:textFill>
            <w14:solidFill>
              <w14:schemeClr w14:val="tx1"/>
            </w14:solidFill>
          </w14:textFill>
        </w:rPr>
        <w:t>增加了</w:t>
      </w:r>
      <w:r>
        <w:rPr>
          <w:rFonts w:hint="eastAsia" w:ascii="Times New Roman" w:hAnsi="Times New Roman" w:cs="Times New Roman"/>
          <w:color w:val="000000" w:themeColor="text1"/>
          <w:kern w:val="0"/>
          <w:szCs w:val="20"/>
          <w14:textFill>
            <w14:solidFill>
              <w14:schemeClr w14:val="tx1"/>
            </w14:solidFill>
          </w14:textFill>
        </w:rPr>
        <w:t>铜硼唑-</w:t>
      </w:r>
      <w:r>
        <w:rPr>
          <w:rFonts w:ascii="Times New Roman" w:hAnsi="Times New Roman" w:cs="Times New Roman"/>
          <w:color w:val="000000" w:themeColor="text1"/>
          <w:kern w:val="0"/>
          <w:szCs w:val="20"/>
          <w14:textFill>
            <w14:solidFill>
              <w14:schemeClr w14:val="tx1"/>
            </w14:solidFill>
          </w14:textFill>
        </w:rPr>
        <w:t>A</w:t>
      </w:r>
      <w:r>
        <w:rPr>
          <w:rFonts w:hint="eastAsia" w:ascii="Times New Roman" w:hAnsi="Times New Roman" w:cs="Times New Roman"/>
          <w:color w:val="000000" w:themeColor="text1"/>
          <w:kern w:val="0"/>
          <w:szCs w:val="20"/>
          <w14:textFill>
            <w14:solidFill>
              <w14:schemeClr w14:val="tx1"/>
            </w14:solidFill>
          </w14:textFill>
        </w:rPr>
        <w:t>型（C</w:t>
      </w:r>
      <w:r>
        <w:rPr>
          <w:rFonts w:ascii="Times New Roman" w:hAnsi="Times New Roman" w:cs="Times New Roman"/>
          <w:color w:val="000000" w:themeColor="text1"/>
          <w:kern w:val="0"/>
          <w:szCs w:val="20"/>
          <w14:textFill>
            <w14:solidFill>
              <w14:schemeClr w14:val="tx1"/>
            </w14:solidFill>
          </w14:textFill>
        </w:rPr>
        <w:t>B</w:t>
      </w:r>
      <w:r>
        <w:rPr>
          <w:rFonts w:hint="eastAsia" w:ascii="Times New Roman" w:hAnsi="Times New Roman" w:cs="Times New Roman"/>
          <w:color w:val="000000" w:themeColor="text1"/>
          <w:kern w:val="0"/>
          <w:szCs w:val="20"/>
          <w14:textFill>
            <w14:solidFill>
              <w14:schemeClr w14:val="tx1"/>
            </w14:solidFill>
          </w14:textFill>
        </w:rPr>
        <w:t>A-</w:t>
      </w:r>
      <w:r>
        <w:rPr>
          <w:rFonts w:ascii="Times New Roman" w:hAnsi="Times New Roman" w:cs="Times New Roman"/>
          <w:color w:val="000000" w:themeColor="text1"/>
          <w:kern w:val="0"/>
          <w:szCs w:val="20"/>
          <w14:textFill>
            <w14:solidFill>
              <w14:schemeClr w14:val="tx1"/>
            </w14:solidFill>
          </w14:textFill>
        </w:rPr>
        <w:t>A</w:t>
      </w:r>
      <w:r>
        <w:rPr>
          <w:rFonts w:hint="eastAsia" w:ascii="Times New Roman" w:hAnsi="Times New Roman" w:cs="Times New Roman"/>
          <w:color w:val="000000" w:themeColor="text1"/>
          <w:kern w:val="0"/>
          <w:szCs w:val="20"/>
          <w14:textFill>
            <w14:solidFill>
              <w14:schemeClr w14:val="tx1"/>
            </w14:solidFill>
          </w14:textFill>
        </w:rPr>
        <w:t>）</w:t>
      </w:r>
      <w:r>
        <w:rPr>
          <w:rFonts w:ascii="Times New Roman" w:hAnsi="Times New Roman" w:cs="Times New Roman"/>
          <w:color w:val="000000" w:themeColor="text1"/>
          <w:kern w:val="0"/>
          <w:szCs w:val="20"/>
          <w14:textFill>
            <w14:solidFill>
              <w14:schemeClr w14:val="tx1"/>
            </w14:solidFill>
          </w14:textFill>
        </w:rPr>
        <w:t>木材防腐剂的定义(见3.1)</w:t>
      </w:r>
      <w:r>
        <w:rPr>
          <w:rFonts w:hint="eastAsia" w:ascii="Times New Roman" w:hAnsi="Times New Roman" w:cs="Times New Roman"/>
          <w:color w:val="000000" w:themeColor="text1"/>
          <w:kern w:val="0"/>
          <w:szCs w:val="20"/>
          <w14:textFill>
            <w14:solidFill>
              <w14:schemeClr w14:val="tx1"/>
            </w14:solidFill>
          </w14:textFill>
        </w:rPr>
        <w:t>；</w:t>
      </w:r>
    </w:p>
    <w:p w14:paraId="0EEF488E">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ascii="Times New Roman" w:hAnsi="Times New Roman" w:cs="Times New Roman"/>
          <w:color w:val="000000" w:themeColor="text1"/>
          <w:kern w:val="0"/>
          <w:szCs w:val="20"/>
          <w14:textFill>
            <w14:solidFill>
              <w14:schemeClr w14:val="tx1"/>
            </w14:solidFill>
          </w14:textFill>
        </w:rPr>
        <w:t>增加了原材料要求(见第4章)</w:t>
      </w:r>
      <w:r>
        <w:rPr>
          <w:rFonts w:hint="eastAsia" w:ascii="Times New Roman" w:hAnsi="Times New Roman" w:cs="Times New Roman"/>
          <w:color w:val="000000" w:themeColor="text1"/>
          <w:kern w:val="0"/>
          <w:szCs w:val="20"/>
          <w14:textFill>
            <w14:solidFill>
              <w14:schemeClr w14:val="tx1"/>
            </w14:solidFill>
          </w14:textFill>
        </w:rPr>
        <w:t>；</w:t>
      </w:r>
    </w:p>
    <w:p w14:paraId="0CBF2EC1">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ascii="Times New Roman" w:hAnsi="Times New Roman" w:cs="Times New Roman"/>
          <w:color w:val="000000" w:themeColor="text1"/>
          <w:kern w:val="0"/>
          <w:szCs w:val="20"/>
          <w14:textFill>
            <w14:solidFill>
              <w14:schemeClr w14:val="tx1"/>
            </w14:solidFill>
          </w14:textFill>
        </w:rPr>
        <w:t>增加了有效成分总含量要求(见5.2)</w:t>
      </w:r>
      <w:r>
        <w:rPr>
          <w:rFonts w:hint="eastAsia" w:ascii="Times New Roman" w:hAnsi="Times New Roman" w:cs="Times New Roman"/>
          <w:color w:val="000000" w:themeColor="text1"/>
          <w:kern w:val="0"/>
          <w:szCs w:val="20"/>
          <w14:textFill>
            <w14:solidFill>
              <w14:schemeClr w14:val="tx1"/>
            </w14:solidFill>
          </w14:textFill>
        </w:rPr>
        <w:t>；</w:t>
      </w:r>
    </w:p>
    <w:p w14:paraId="1D715A50">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ascii="Times New Roman" w:hAnsi="Times New Roman" w:cs="Times New Roman"/>
          <w:color w:val="000000" w:themeColor="text1"/>
          <w:kern w:val="0"/>
          <w:szCs w:val="20"/>
          <w14:textFill>
            <w14:solidFill>
              <w14:schemeClr w14:val="tx1"/>
            </w14:solidFill>
          </w14:textFill>
        </w:rPr>
        <w:t>更改了铜</w:t>
      </w:r>
      <w:r>
        <w:rPr>
          <w:rFonts w:hint="eastAsia" w:ascii="Times New Roman" w:hAnsi="Times New Roman" w:cs="Times New Roman"/>
          <w:color w:val="000000" w:themeColor="text1"/>
          <w:kern w:val="0"/>
          <w:szCs w:val="20"/>
          <w14:textFill>
            <w14:solidFill>
              <w14:schemeClr w14:val="tx1"/>
            </w14:solidFill>
          </w14:textFill>
        </w:rPr>
        <w:t>硼</w:t>
      </w:r>
      <w:r>
        <w:rPr>
          <w:rFonts w:ascii="Times New Roman" w:hAnsi="Times New Roman" w:cs="Times New Roman"/>
          <w:color w:val="000000" w:themeColor="text1"/>
          <w:kern w:val="0"/>
          <w:szCs w:val="20"/>
          <w14:textFill>
            <w14:solidFill>
              <w14:schemeClr w14:val="tx1"/>
            </w14:solidFill>
          </w14:textFill>
        </w:rPr>
        <w:t>唑-</w:t>
      </w:r>
      <w:r>
        <w:rPr>
          <w:rFonts w:hint="eastAsia" w:ascii="Times New Roman" w:hAnsi="Times New Roman" w:cs="Times New Roman"/>
          <w:color w:val="000000" w:themeColor="text1"/>
          <w:kern w:val="0"/>
          <w:szCs w:val="20"/>
          <w14:textFill>
            <w14:solidFill>
              <w14:schemeClr w14:val="tx1"/>
            </w14:solidFill>
          </w14:textFill>
        </w:rPr>
        <w:t>A</w:t>
      </w:r>
      <w:r>
        <w:rPr>
          <w:rFonts w:ascii="Times New Roman" w:hAnsi="Times New Roman" w:cs="Times New Roman"/>
          <w:color w:val="000000" w:themeColor="text1"/>
          <w:kern w:val="0"/>
          <w:szCs w:val="20"/>
          <w14:textFill>
            <w14:solidFill>
              <w14:schemeClr w14:val="tx1"/>
            </w14:solidFill>
          </w14:textFill>
        </w:rPr>
        <w:t>型(C</w:t>
      </w:r>
      <w:r>
        <w:rPr>
          <w:rFonts w:hint="eastAsia" w:ascii="Times New Roman" w:hAnsi="Times New Roman" w:cs="Times New Roman"/>
          <w:color w:val="000000" w:themeColor="text1"/>
          <w:kern w:val="0"/>
          <w:szCs w:val="20"/>
          <w14:textFill>
            <w14:solidFill>
              <w14:schemeClr w14:val="tx1"/>
            </w14:solidFill>
          </w14:textFill>
        </w:rPr>
        <w:t>B</w:t>
      </w:r>
      <w:r>
        <w:rPr>
          <w:rFonts w:ascii="Times New Roman" w:hAnsi="Times New Roman" w:cs="Times New Roman"/>
          <w:color w:val="000000" w:themeColor="text1"/>
          <w:kern w:val="0"/>
          <w:szCs w:val="20"/>
          <w14:textFill>
            <w14:solidFill>
              <w14:schemeClr w14:val="tx1"/>
            </w14:solidFill>
          </w14:textFill>
        </w:rPr>
        <w:t>A-</w:t>
      </w:r>
      <w:r>
        <w:rPr>
          <w:rFonts w:hint="eastAsia" w:ascii="Times New Roman" w:hAnsi="Times New Roman" w:cs="Times New Roman"/>
          <w:color w:val="000000" w:themeColor="text1"/>
          <w:kern w:val="0"/>
          <w:szCs w:val="20"/>
          <w14:textFill>
            <w14:solidFill>
              <w14:schemeClr w14:val="tx1"/>
            </w14:solidFill>
          </w14:textFill>
        </w:rPr>
        <w:t>A</w:t>
      </w:r>
      <w:r>
        <w:rPr>
          <w:rFonts w:ascii="Times New Roman" w:hAnsi="Times New Roman" w:cs="Times New Roman"/>
          <w:color w:val="000000" w:themeColor="text1"/>
          <w:kern w:val="0"/>
          <w:szCs w:val="20"/>
          <w14:textFill>
            <w14:solidFill>
              <w14:schemeClr w14:val="tx1"/>
            </w14:solidFill>
          </w14:textFill>
        </w:rPr>
        <w:t>)木材防腐剂有效成分比例表(见5.2，2007年版的2.2)</w:t>
      </w:r>
      <w:r>
        <w:rPr>
          <w:rFonts w:hint="eastAsia" w:ascii="Times New Roman" w:hAnsi="Times New Roman" w:cs="Times New Roman"/>
          <w:color w:val="000000" w:themeColor="text1"/>
          <w:kern w:val="0"/>
          <w:szCs w:val="20"/>
          <w14:textFill>
            <w14:solidFill>
              <w14:schemeClr w14:val="tx1"/>
            </w14:solidFill>
          </w14:textFill>
        </w:rPr>
        <w:t>；</w:t>
      </w:r>
    </w:p>
    <w:p w14:paraId="20A26B62">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ascii="Times New Roman" w:hAnsi="Times New Roman" w:cs="Times New Roman"/>
          <w:color w:val="000000" w:themeColor="text1"/>
          <w:kern w:val="0"/>
          <w:szCs w:val="20"/>
          <w14:textFill>
            <w14:solidFill>
              <w14:schemeClr w14:val="tx1"/>
            </w14:solidFill>
          </w14:textFill>
        </w:rPr>
        <w:t>增加了外观的试验方法(见6.1)</w:t>
      </w:r>
      <w:r>
        <w:rPr>
          <w:rFonts w:hint="eastAsia" w:ascii="Times New Roman" w:hAnsi="Times New Roman" w:cs="Times New Roman"/>
          <w:color w:val="000000" w:themeColor="text1"/>
          <w:kern w:val="0"/>
          <w:szCs w:val="20"/>
          <w14:textFill>
            <w14:solidFill>
              <w14:schemeClr w14:val="tx1"/>
            </w14:solidFill>
          </w14:textFill>
        </w:rPr>
        <w:t>；</w:t>
      </w:r>
    </w:p>
    <w:p w14:paraId="11FE4A8C">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ascii="Times New Roman" w:hAnsi="Times New Roman" w:cs="Times New Roman"/>
          <w:color w:val="000000" w:themeColor="text1"/>
          <w:kern w:val="0"/>
          <w:szCs w:val="20"/>
          <w14:textFill>
            <w14:solidFill>
              <w14:schemeClr w14:val="tx1"/>
            </w14:solidFill>
          </w14:textFill>
        </w:rPr>
        <w:t>增加了有效成分总含量和比例计算公式(见6.2)</w:t>
      </w:r>
      <w:r>
        <w:rPr>
          <w:rFonts w:hint="eastAsia" w:ascii="Times New Roman" w:hAnsi="Times New Roman" w:cs="Times New Roman"/>
          <w:color w:val="000000" w:themeColor="text1"/>
          <w:kern w:val="0"/>
          <w:szCs w:val="20"/>
          <w14:textFill>
            <w14:solidFill>
              <w14:schemeClr w14:val="tx1"/>
            </w14:solidFill>
          </w14:textFill>
        </w:rPr>
        <w:t>；</w:t>
      </w:r>
    </w:p>
    <w:p w14:paraId="637E9C52">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增加了原子吸收光谱法测铜含量</w:t>
      </w:r>
      <w:r>
        <w:rPr>
          <w:rFonts w:ascii="Times New Roman" w:hAnsi="Times New Roman" w:cs="Times New Roman"/>
          <w:color w:val="000000" w:themeColor="text1"/>
          <w:kern w:val="0"/>
          <w:szCs w:val="20"/>
          <w14:textFill>
            <w14:solidFill>
              <w14:schemeClr w14:val="tx1"/>
            </w14:solidFill>
          </w14:textFill>
        </w:rPr>
        <w:t>(见6.2.3.3)</w:t>
      </w:r>
      <w:r>
        <w:rPr>
          <w:rFonts w:hint="eastAsia" w:ascii="Times New Roman" w:hAnsi="Times New Roman" w:cs="Times New Roman"/>
          <w:color w:val="000000" w:themeColor="text1"/>
          <w:kern w:val="0"/>
          <w:szCs w:val="20"/>
          <w14:textFill>
            <w14:solidFill>
              <w14:schemeClr w14:val="tx1"/>
            </w14:solidFill>
          </w14:textFill>
        </w:rPr>
        <w:t>；</w:t>
      </w:r>
    </w:p>
    <w:p w14:paraId="0B3FF03A">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增加了电感耦合等离子体发射光谱法测铜含量</w:t>
      </w:r>
      <w:r>
        <w:rPr>
          <w:rFonts w:ascii="Times New Roman" w:hAnsi="Times New Roman" w:cs="Times New Roman"/>
          <w:color w:val="000000" w:themeColor="text1"/>
          <w:kern w:val="0"/>
          <w:szCs w:val="20"/>
          <w14:textFill>
            <w14:solidFill>
              <w14:schemeClr w14:val="tx1"/>
            </w14:solidFill>
          </w14:textFill>
        </w:rPr>
        <w:t>(见6.2.3.</w:t>
      </w:r>
      <w:r>
        <w:rPr>
          <w:rFonts w:hint="eastAsia" w:ascii="Times New Roman" w:hAnsi="Times New Roman" w:cs="Times New Roman"/>
          <w:color w:val="000000" w:themeColor="text1"/>
          <w:kern w:val="0"/>
          <w:szCs w:val="20"/>
          <w14:textFill>
            <w14:solidFill>
              <w14:schemeClr w14:val="tx1"/>
            </w14:solidFill>
          </w14:textFill>
        </w:rPr>
        <w:t>4</w:t>
      </w:r>
      <w:r>
        <w:rPr>
          <w:rFonts w:ascii="Times New Roman" w:hAnsi="Times New Roman" w:cs="Times New Roman"/>
          <w:color w:val="000000" w:themeColor="text1"/>
          <w:kern w:val="0"/>
          <w:szCs w:val="20"/>
          <w14:textFill>
            <w14:solidFill>
              <w14:schemeClr w14:val="tx1"/>
            </w14:solidFill>
          </w14:textFill>
        </w:rPr>
        <w:t>)</w:t>
      </w:r>
      <w:r>
        <w:rPr>
          <w:rFonts w:hint="eastAsia" w:ascii="Times New Roman" w:hAnsi="Times New Roman" w:cs="Times New Roman"/>
          <w:color w:val="000000" w:themeColor="text1"/>
          <w:kern w:val="0"/>
          <w:szCs w:val="20"/>
          <w14:textFill>
            <w14:solidFill>
              <w14:schemeClr w14:val="tx1"/>
            </w14:solidFill>
          </w14:textFill>
        </w:rPr>
        <w:t>；</w:t>
      </w:r>
    </w:p>
    <w:p w14:paraId="2EEF8CE8">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增加了电感耦合等离子体质谱法测铜含量</w:t>
      </w:r>
      <w:r>
        <w:rPr>
          <w:rFonts w:ascii="Times New Roman" w:hAnsi="Times New Roman" w:cs="Times New Roman"/>
          <w:color w:val="000000" w:themeColor="text1"/>
          <w:kern w:val="0"/>
          <w:szCs w:val="20"/>
          <w14:textFill>
            <w14:solidFill>
              <w14:schemeClr w14:val="tx1"/>
            </w14:solidFill>
          </w14:textFill>
        </w:rPr>
        <w:t>(见6.2.3.</w:t>
      </w:r>
      <w:r>
        <w:rPr>
          <w:rFonts w:hint="eastAsia" w:ascii="Times New Roman" w:hAnsi="Times New Roman" w:cs="Times New Roman"/>
          <w:color w:val="000000" w:themeColor="text1"/>
          <w:kern w:val="0"/>
          <w:szCs w:val="20"/>
          <w14:textFill>
            <w14:solidFill>
              <w14:schemeClr w14:val="tx1"/>
            </w14:solidFill>
          </w14:textFill>
        </w:rPr>
        <w:t>5</w:t>
      </w:r>
      <w:r>
        <w:rPr>
          <w:rFonts w:ascii="Times New Roman" w:hAnsi="Times New Roman" w:cs="Times New Roman"/>
          <w:color w:val="000000" w:themeColor="text1"/>
          <w:kern w:val="0"/>
          <w:szCs w:val="20"/>
          <w14:textFill>
            <w14:solidFill>
              <w14:schemeClr w14:val="tx1"/>
            </w14:solidFill>
          </w14:textFill>
        </w:rPr>
        <w:t>)</w:t>
      </w:r>
      <w:r>
        <w:rPr>
          <w:rFonts w:hint="eastAsia" w:ascii="Times New Roman" w:hAnsi="Times New Roman" w:cs="Times New Roman"/>
          <w:color w:val="000000" w:themeColor="text1"/>
          <w:kern w:val="0"/>
          <w:szCs w:val="20"/>
          <w14:textFill>
            <w14:solidFill>
              <w14:schemeClr w14:val="tx1"/>
            </w14:solidFill>
          </w14:textFill>
        </w:rPr>
        <w:t>；</w:t>
      </w:r>
    </w:p>
    <w:p w14:paraId="36FD5DB9">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增加了电感耦合等离子体发射光谱法测硼含量</w:t>
      </w:r>
      <w:r>
        <w:rPr>
          <w:rFonts w:ascii="Times New Roman" w:hAnsi="Times New Roman" w:cs="Times New Roman"/>
          <w:color w:val="000000" w:themeColor="text1"/>
          <w:kern w:val="0"/>
          <w:szCs w:val="20"/>
          <w14:textFill>
            <w14:solidFill>
              <w14:schemeClr w14:val="tx1"/>
            </w14:solidFill>
          </w14:textFill>
        </w:rPr>
        <w:t>(见6.2.</w:t>
      </w:r>
      <w:r>
        <w:rPr>
          <w:rFonts w:hint="eastAsia" w:ascii="Times New Roman" w:hAnsi="Times New Roman" w:cs="Times New Roman"/>
          <w:color w:val="000000" w:themeColor="text1"/>
          <w:kern w:val="0"/>
          <w:szCs w:val="20"/>
          <w14:textFill>
            <w14:solidFill>
              <w14:schemeClr w14:val="tx1"/>
            </w14:solidFill>
          </w14:textFill>
        </w:rPr>
        <w:t>4.2</w:t>
      </w:r>
      <w:r>
        <w:rPr>
          <w:rFonts w:ascii="Times New Roman" w:hAnsi="Times New Roman" w:cs="Times New Roman"/>
          <w:color w:val="000000" w:themeColor="text1"/>
          <w:kern w:val="0"/>
          <w:szCs w:val="20"/>
          <w14:textFill>
            <w14:solidFill>
              <w14:schemeClr w14:val="tx1"/>
            </w14:solidFill>
          </w14:textFill>
        </w:rPr>
        <w:t>)</w:t>
      </w:r>
      <w:r>
        <w:rPr>
          <w:rFonts w:hint="eastAsia" w:ascii="Times New Roman" w:hAnsi="Times New Roman" w:cs="Times New Roman"/>
          <w:color w:val="000000" w:themeColor="text1"/>
          <w:kern w:val="0"/>
          <w:szCs w:val="20"/>
          <w14:textFill>
            <w14:solidFill>
              <w14:schemeClr w14:val="tx1"/>
            </w14:solidFill>
          </w14:textFill>
        </w:rPr>
        <w:t>；</w:t>
      </w:r>
    </w:p>
    <w:p w14:paraId="310159F3">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增加了电感耦合等离子体质谱法测硼含量</w:t>
      </w:r>
      <w:r>
        <w:rPr>
          <w:rFonts w:ascii="Times New Roman" w:hAnsi="Times New Roman" w:cs="Times New Roman"/>
          <w:color w:val="000000" w:themeColor="text1"/>
          <w:kern w:val="0"/>
          <w:szCs w:val="20"/>
          <w14:textFill>
            <w14:solidFill>
              <w14:schemeClr w14:val="tx1"/>
            </w14:solidFill>
          </w14:textFill>
        </w:rPr>
        <w:t>(见6.2.</w:t>
      </w:r>
      <w:r>
        <w:rPr>
          <w:rFonts w:hint="eastAsia" w:ascii="Times New Roman" w:hAnsi="Times New Roman" w:cs="Times New Roman"/>
          <w:color w:val="000000" w:themeColor="text1"/>
          <w:kern w:val="0"/>
          <w:szCs w:val="20"/>
          <w14:textFill>
            <w14:solidFill>
              <w14:schemeClr w14:val="tx1"/>
            </w14:solidFill>
          </w14:textFill>
        </w:rPr>
        <w:t>4.3</w:t>
      </w:r>
      <w:r>
        <w:rPr>
          <w:rFonts w:ascii="Times New Roman" w:hAnsi="Times New Roman" w:cs="Times New Roman"/>
          <w:color w:val="000000" w:themeColor="text1"/>
          <w:kern w:val="0"/>
          <w:szCs w:val="20"/>
          <w14:textFill>
            <w14:solidFill>
              <w14:schemeClr w14:val="tx1"/>
            </w14:solidFill>
          </w14:textFill>
        </w:rPr>
        <w:t>)</w:t>
      </w:r>
      <w:r>
        <w:rPr>
          <w:rFonts w:hint="eastAsia" w:ascii="Times New Roman" w:hAnsi="Times New Roman" w:cs="Times New Roman"/>
          <w:color w:val="000000" w:themeColor="text1"/>
          <w:kern w:val="0"/>
          <w:szCs w:val="20"/>
          <w14:textFill>
            <w14:solidFill>
              <w14:schemeClr w14:val="tx1"/>
            </w14:solidFill>
          </w14:textFill>
        </w:rPr>
        <w:t>；</w:t>
      </w:r>
    </w:p>
    <w:p w14:paraId="1BE48DA8">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ascii="Times New Roman" w:hAnsi="Times New Roman" w:cs="Times New Roman"/>
          <w:color w:val="000000" w:themeColor="text1"/>
          <w:kern w:val="0"/>
          <w:szCs w:val="20"/>
          <w14:textFill>
            <w14:solidFill>
              <w14:schemeClr w14:val="tx1"/>
            </w14:solidFill>
          </w14:textFill>
        </w:rPr>
        <w:t>增加了液质联用法测戊唑醇含量(见6.2.</w:t>
      </w:r>
      <w:r>
        <w:rPr>
          <w:rFonts w:hint="eastAsia" w:ascii="Times New Roman" w:hAnsi="Times New Roman" w:cs="Times New Roman"/>
          <w:color w:val="000000" w:themeColor="text1"/>
          <w:kern w:val="0"/>
          <w:szCs w:val="20"/>
          <w14:textFill>
            <w14:solidFill>
              <w14:schemeClr w14:val="tx1"/>
            </w14:solidFill>
          </w14:textFill>
        </w:rPr>
        <w:t>5.</w:t>
      </w:r>
      <w:r>
        <w:rPr>
          <w:rFonts w:ascii="Times New Roman" w:hAnsi="Times New Roman" w:cs="Times New Roman"/>
          <w:color w:val="000000" w:themeColor="text1"/>
          <w:kern w:val="0"/>
          <w:szCs w:val="20"/>
          <w14:textFill>
            <w14:solidFill>
              <w14:schemeClr w14:val="tx1"/>
            </w14:solidFill>
          </w14:textFill>
        </w:rPr>
        <w:t>2)</w:t>
      </w:r>
      <w:r>
        <w:rPr>
          <w:rFonts w:hint="eastAsia" w:ascii="Times New Roman" w:hAnsi="Times New Roman" w:cs="Times New Roman"/>
          <w:color w:val="000000" w:themeColor="text1"/>
          <w:kern w:val="0"/>
          <w:szCs w:val="20"/>
          <w14:textFill>
            <w14:solidFill>
              <w14:schemeClr w14:val="tx1"/>
            </w14:solidFill>
          </w14:textFill>
        </w:rPr>
        <w:t>；</w:t>
      </w:r>
    </w:p>
    <w:p w14:paraId="2A1B195C">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ascii="Times New Roman" w:hAnsi="Times New Roman" w:cs="Times New Roman"/>
          <w:color w:val="000000" w:themeColor="text1"/>
          <w:kern w:val="0"/>
          <w:szCs w:val="20"/>
          <w14:textFill>
            <w14:solidFill>
              <w14:schemeClr w14:val="tx1"/>
            </w14:solidFill>
          </w14:textFill>
        </w:rPr>
        <w:t>更改了pH值的测定(见6.3</w:t>
      </w:r>
      <w:r>
        <w:rPr>
          <w:rFonts w:hint="eastAsia" w:ascii="Times New Roman" w:hAnsi="Times New Roman" w:cs="Times New Roman"/>
          <w:color w:val="000000" w:themeColor="text1"/>
          <w:kern w:val="0"/>
          <w:szCs w:val="20"/>
          <w14:textFill>
            <w14:solidFill>
              <w14:schemeClr w14:val="tx1"/>
            </w14:solidFill>
          </w14:textFill>
        </w:rPr>
        <w:t>，</w:t>
      </w:r>
      <w:r>
        <w:rPr>
          <w:rFonts w:ascii="Times New Roman" w:hAnsi="Times New Roman" w:cs="Times New Roman"/>
          <w:color w:val="000000" w:themeColor="text1"/>
          <w:kern w:val="0"/>
          <w:szCs w:val="20"/>
          <w14:textFill>
            <w14:solidFill>
              <w14:schemeClr w14:val="tx1"/>
            </w14:solidFill>
          </w14:textFill>
        </w:rPr>
        <w:t>2007年版的3.2.</w:t>
      </w:r>
      <w:r>
        <w:rPr>
          <w:rFonts w:hint="eastAsia" w:ascii="Times New Roman" w:hAnsi="Times New Roman" w:cs="Times New Roman"/>
          <w:color w:val="000000" w:themeColor="text1"/>
          <w:kern w:val="0"/>
          <w:szCs w:val="20"/>
          <w14:textFill>
            <w14:solidFill>
              <w14:schemeClr w14:val="tx1"/>
            </w14:solidFill>
          </w14:textFill>
        </w:rPr>
        <w:t>5</w:t>
      </w:r>
      <w:r>
        <w:rPr>
          <w:rFonts w:ascii="Times New Roman" w:hAnsi="Times New Roman" w:cs="Times New Roman"/>
          <w:color w:val="000000" w:themeColor="text1"/>
          <w:kern w:val="0"/>
          <w:szCs w:val="20"/>
          <w14:textFill>
            <w14:solidFill>
              <w14:schemeClr w14:val="tx1"/>
            </w14:solidFill>
          </w14:textFill>
        </w:rPr>
        <w:t>)</w:t>
      </w:r>
      <w:r>
        <w:rPr>
          <w:rFonts w:hint="eastAsia" w:ascii="Times New Roman" w:hAnsi="Times New Roman" w:cs="Times New Roman"/>
          <w:color w:val="000000" w:themeColor="text1"/>
          <w:kern w:val="0"/>
          <w:szCs w:val="20"/>
          <w14:textFill>
            <w14:solidFill>
              <w14:schemeClr w14:val="tx1"/>
            </w14:solidFill>
          </w14:textFill>
        </w:rPr>
        <w:t>；</w:t>
      </w:r>
    </w:p>
    <w:p w14:paraId="6CA8A228">
      <w:pPr>
        <w:pStyle w:val="65"/>
        <w:numPr>
          <w:ilvl w:val="0"/>
          <w:numId w:val="6"/>
        </w:numPr>
        <w:ind w:firstLine="420"/>
        <w:rPr>
          <w:rFonts w:ascii="Times New Roman" w:hAnsi="Times New Roman" w:cs="Times New Roman"/>
          <w:color w:val="000000" w:themeColor="text1"/>
          <w:kern w:val="0"/>
          <w:szCs w:val="20"/>
          <w14:textFill>
            <w14:solidFill>
              <w14:schemeClr w14:val="tx1"/>
            </w14:solidFill>
          </w14:textFill>
        </w:rPr>
      </w:pPr>
      <w:r>
        <w:rPr>
          <w:rFonts w:ascii="Times New Roman" w:hAnsi="Times New Roman" w:cs="Times New Roman"/>
          <w:color w:val="000000" w:themeColor="text1"/>
          <w:kern w:val="0"/>
          <w:szCs w:val="20"/>
          <w14:textFill>
            <w14:solidFill>
              <w14:schemeClr w14:val="tx1"/>
            </w14:solidFill>
          </w14:textFill>
        </w:rPr>
        <w:t>增加了检验规则(见第7章)</w:t>
      </w:r>
      <w:r>
        <w:rPr>
          <w:rFonts w:hint="eastAsia" w:ascii="Times New Roman" w:hAnsi="Times New Roman" w:cs="Times New Roman"/>
          <w:color w:val="000000" w:themeColor="text1"/>
          <w:kern w:val="0"/>
          <w:szCs w:val="20"/>
          <w14:textFill>
            <w14:solidFill>
              <w14:schemeClr w14:val="tx1"/>
            </w14:solidFill>
          </w14:textFill>
        </w:rPr>
        <w:t>；</w:t>
      </w:r>
    </w:p>
    <w:p w14:paraId="1C61BA2A">
      <w:pPr>
        <w:pStyle w:val="65"/>
        <w:widowControl/>
        <w:numPr>
          <w:ilvl w:val="0"/>
          <w:numId w:val="6"/>
        </w:numPr>
        <w:autoSpaceDE w:val="0"/>
        <w:autoSpaceDN w:val="0"/>
        <w:ind w:firstLine="420"/>
        <w:rPr>
          <w:rFonts w:ascii="Times New Roman" w:hAnsi="Times New Roman" w:cs="Times New Roman"/>
          <w:color w:val="000000" w:themeColor="text1"/>
          <w:kern w:val="0"/>
          <w:szCs w:val="20"/>
          <w14:textFill>
            <w14:solidFill>
              <w14:schemeClr w14:val="tx1"/>
            </w14:solidFill>
          </w14:textFill>
        </w:rPr>
      </w:pPr>
      <w:r>
        <w:rPr>
          <w:rFonts w:ascii="Times New Roman" w:hAnsi="Times New Roman" w:cs="Times New Roman"/>
          <w:color w:val="000000" w:themeColor="text1"/>
          <w:kern w:val="0"/>
          <w:szCs w:val="20"/>
          <w14:textFill>
            <w14:solidFill>
              <w14:schemeClr w14:val="tx1"/>
            </w14:solidFill>
          </w14:textFill>
        </w:rPr>
        <w:t>更改了标志、包装、运输和贮存要求(见第8章，2007年版的第4章)。</w:t>
      </w:r>
    </w:p>
    <w:p w14:paraId="6C2FAACE">
      <w:pPr>
        <w:pStyle w:val="65"/>
        <w:widowControl/>
        <w:autoSpaceDE w:val="0"/>
        <w:autoSpaceDN w:val="0"/>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请注意本文件的某些内容可能涉及专利。本文件的发布机构不承担识别专利的责任。</w:t>
      </w:r>
    </w:p>
    <w:p w14:paraId="7BB8A0F6">
      <w:pPr>
        <w:pStyle w:val="65"/>
        <w:widowControl/>
        <w:autoSpaceDE w:val="0"/>
        <w:autoSpaceDN w:val="0"/>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本文件由</w:t>
      </w:r>
      <w:r>
        <w:rPr>
          <w:rFonts w:hint="eastAsia" w:ascii="Times New Roman" w:hAnsi="Times New Roman" w:cs="Times New Roman"/>
          <w:color w:val="000000" w:themeColor="text1"/>
          <w:kern w:val="0"/>
          <w:szCs w:val="20"/>
          <w:lang w:val="en-US" w:eastAsia="zh-CN"/>
          <w14:textFill>
            <w14:solidFill>
              <w14:schemeClr w14:val="tx1"/>
            </w14:solidFill>
          </w14:textFill>
        </w:rPr>
        <w:t>中国建筑材料联合会</w:t>
      </w:r>
      <w:r>
        <w:rPr>
          <w:rFonts w:hint="eastAsia" w:ascii="Times New Roman" w:hAnsi="Times New Roman" w:cs="Times New Roman"/>
          <w:color w:val="000000" w:themeColor="text1"/>
          <w:kern w:val="0"/>
          <w:szCs w:val="20"/>
          <w14:textFill>
            <w14:solidFill>
              <w14:schemeClr w14:val="tx1"/>
            </w14:solidFill>
          </w14:textFill>
        </w:rPr>
        <w:t>提出。</w:t>
      </w:r>
    </w:p>
    <w:p w14:paraId="7503EE95">
      <w:pPr>
        <w:pStyle w:val="65"/>
        <w:widowControl/>
        <w:autoSpaceDE w:val="0"/>
        <w:autoSpaceDN w:val="0"/>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本文件由建材工业综合标准化技术委员会归口。</w:t>
      </w:r>
    </w:p>
    <w:p w14:paraId="32E4B5A7">
      <w:pPr>
        <w:pStyle w:val="65"/>
        <w:widowControl/>
        <w:autoSpaceDE w:val="0"/>
        <w:autoSpaceDN w:val="0"/>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本文件起草单位：木材节约发展中心、××××。</w:t>
      </w:r>
    </w:p>
    <w:p w14:paraId="0B199453">
      <w:pPr>
        <w:pStyle w:val="65"/>
        <w:widowControl/>
        <w:autoSpaceDE w:val="0"/>
        <w:autoSpaceDN w:val="0"/>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本文件主要起草人：×××、×××。</w:t>
      </w:r>
    </w:p>
    <w:p w14:paraId="6F5BE0A8">
      <w:pPr>
        <w:pStyle w:val="65"/>
        <w:widowControl/>
        <w:autoSpaceDE w:val="0"/>
        <w:autoSpaceDN w:val="0"/>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本文件及其所代替文件的历次版本发布情况为：</w:t>
      </w:r>
    </w:p>
    <w:p w14:paraId="32C68930">
      <w:pPr>
        <w:pStyle w:val="65"/>
        <w:widowControl/>
        <w:autoSpaceDE w:val="0"/>
        <w:autoSpaceDN w:val="0"/>
        <w:ind w:firstLine="420"/>
        <w:rPr>
          <w:rFonts w:ascii="Times New Roman" w:hAnsi="Times New Roman" w:cs="Times New Roman"/>
          <w:color w:val="000000" w:themeColor="text1"/>
          <w:kern w:val="0"/>
          <w:szCs w:val="20"/>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——2007年首次发布为SB/T 1043</w:t>
      </w:r>
      <w:r>
        <w:rPr>
          <w:rFonts w:ascii="Times New Roman" w:hAnsi="Times New Roman" w:cs="Times New Roman"/>
          <w:color w:val="000000" w:themeColor="text1"/>
          <w:kern w:val="0"/>
          <w:szCs w:val="20"/>
          <w14:textFill>
            <w14:solidFill>
              <w14:schemeClr w14:val="tx1"/>
            </w14:solidFill>
          </w14:textFill>
        </w:rPr>
        <w:t>4</w:t>
      </w:r>
      <w:r>
        <w:rPr>
          <w:rFonts w:hint="eastAsia" w:ascii="Times New Roman" w:hAnsi="Times New Roman" w:cs="Times New Roman"/>
          <w:color w:val="000000" w:themeColor="text1"/>
          <w:kern w:val="0"/>
          <w:szCs w:val="20"/>
          <w14:textFill>
            <w14:solidFill>
              <w14:schemeClr w14:val="tx1"/>
            </w14:solidFill>
          </w14:textFill>
        </w:rPr>
        <w:t>-2007</w:t>
      </w:r>
      <w:r>
        <w:rPr>
          <w:rFonts w:hint="eastAsia" w:ascii="Times New Roman" w:hAnsi="Times New Roman" w:cs="Times New Roman"/>
          <w:color w:val="000000" w:themeColor="text1"/>
          <w:kern w:val="0"/>
          <w:szCs w:val="20"/>
          <w:lang w:eastAsia="zh-CN"/>
          <w14:textFill>
            <w14:solidFill>
              <w14:schemeClr w14:val="tx1"/>
            </w14:solidFill>
          </w14:textFill>
        </w:rPr>
        <w:t>《木材防腐剂 铜硼唑-A型（CBA-A）》</w:t>
      </w:r>
      <w:r>
        <w:rPr>
          <w:rFonts w:hint="eastAsia" w:ascii="Times New Roman" w:hAnsi="Times New Roman" w:cs="Times New Roman"/>
          <w:color w:val="000000" w:themeColor="text1"/>
          <w:kern w:val="0"/>
          <w:szCs w:val="20"/>
          <w14:textFill>
            <w14:solidFill>
              <w14:schemeClr w14:val="tx1"/>
            </w14:solidFill>
          </w14:textFill>
        </w:rPr>
        <w:t>；</w:t>
      </w:r>
    </w:p>
    <w:p w14:paraId="0589CF88">
      <w:pPr>
        <w:pStyle w:val="65"/>
        <w:widowControl/>
        <w:autoSpaceDE w:val="0"/>
        <w:autoSpaceDN w:val="0"/>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kern w:val="0"/>
          <w:szCs w:val="20"/>
          <w14:textFill>
            <w14:solidFill>
              <w14:schemeClr w14:val="tx1"/>
            </w14:solidFill>
          </w14:textFill>
        </w:rPr>
        <w:t>——本次为第一次修订。</w:t>
      </w:r>
      <w:r>
        <w:rPr>
          <w:rFonts w:ascii="Times New Roman" w:hAnsi="Times New Roman" w:cs="Times New Roman"/>
          <w:color w:val="000000" w:themeColor="text1"/>
          <w14:textFill>
            <w14:solidFill>
              <w14:schemeClr w14:val="tx1"/>
            </w14:solidFill>
          </w14:textFill>
        </w:rPr>
        <w:br w:type="page"/>
      </w:r>
    </w:p>
    <w:p w14:paraId="12EB46C3">
      <w:pPr>
        <w:pStyle w:val="81"/>
        <w:rPr>
          <w:rFonts w:ascii="Times New Roman" w:hAnsi="Times New Roman"/>
          <w:color w:val="000000" w:themeColor="text1"/>
          <w14:textFill>
            <w14:solidFill>
              <w14:schemeClr w14:val="tx1"/>
            </w14:solidFill>
          </w14:textFill>
        </w:rPr>
        <w:sectPr>
          <w:headerReference r:id="rId11" w:type="default"/>
          <w:footerReference r:id="rId12" w:type="default"/>
          <w:pgSz w:w="11906" w:h="16838"/>
          <w:pgMar w:top="567" w:right="1134" w:bottom="1134" w:left="1418" w:header="1418" w:footer="1134" w:gutter="0"/>
          <w:pgNumType w:fmt="upperRoman" w:start="1"/>
          <w:cols w:space="720" w:num="1"/>
          <w:formProt w:val="0"/>
          <w:docGrid w:type="lines" w:linePitch="312" w:charSpace="0"/>
        </w:sectPr>
      </w:pPr>
    </w:p>
    <w:p w14:paraId="67065CB6">
      <w:pPr>
        <w:pStyle w:val="19"/>
        <w:widowControl w:val="0"/>
        <w:tabs>
          <w:tab w:val="clear" w:pos="4201"/>
          <w:tab w:val="clear" w:pos="9298"/>
        </w:tabs>
        <w:autoSpaceDE/>
        <w:autoSpaceDN/>
        <w:ind w:firstLine="0" w:firstLineChars="0"/>
        <w:rPr>
          <w:rFonts w:ascii="Times New Roman" w:hAnsi="Times New Roman" w:eastAsia="黑体"/>
          <w:b w:val="0"/>
          <w:color w:val="000000" w:themeColor="text1"/>
          <w:kern w:val="2"/>
          <w14:textFill>
            <w14:solidFill>
              <w14:schemeClr w14:val="tx1"/>
            </w14:solidFill>
          </w14:textFill>
        </w:rPr>
      </w:pPr>
      <w:r>
        <w:rPr>
          <w:rFonts w:ascii="Times New Roman" w:hAnsi="Times New Roman" w:eastAsia="黑体"/>
          <w:b w:val="0"/>
          <w:color w:val="000000" w:themeColor="text1"/>
          <w:kern w:val="2"/>
          <w14:textFill>
            <w14:solidFill>
              <w14:schemeClr w14:val="tx1"/>
            </w14:solidFill>
          </w14:textFill>
        </w:rPr>
        <w:t>木材防腐剂 铜硼唑-A型（CBA-A）</w:t>
      </w:r>
    </w:p>
    <w:p w14:paraId="7A1FA2F5">
      <w:pPr>
        <w:pStyle w:val="5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5" w:name="_Toc78802403"/>
      <w:r>
        <w:rPr>
          <w:rFonts w:hint="eastAsia" w:ascii="Times New Roman" w:hAnsi="Times New Roman"/>
          <w:color w:val="000000" w:themeColor="text1"/>
          <w14:textFill>
            <w14:solidFill>
              <w14:schemeClr w14:val="tx1"/>
            </w14:solidFill>
          </w14:textFill>
        </w:rPr>
        <w:t>范围</w:t>
      </w:r>
      <w:bookmarkEnd w:id="5"/>
    </w:p>
    <w:p w14:paraId="2ABB7FF9">
      <w:pPr>
        <w:pStyle w:val="53"/>
        <w:numPr>
          <w:ilvl w:val="0"/>
          <w:numId w:val="0"/>
        </w:numPr>
        <w:autoSpaceDE/>
        <w:autoSpaceDN/>
        <w:spacing w:before="0" w:beforeLines="0" w:after="0" w:afterLines="0"/>
        <w:ind w:firstLine="420" w:firstLineChars="200"/>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本文件规定了铜硼唑-A型（CBA-A）木材防腐剂的原材料、要求、试验方法、检验规则及标志、包装、运输和贮存。</w:t>
      </w:r>
    </w:p>
    <w:p w14:paraId="76294DBE">
      <w:pPr>
        <w:pStyle w:val="53"/>
        <w:numPr>
          <w:ilvl w:val="0"/>
          <w:numId w:val="0"/>
        </w:numPr>
        <w:autoSpaceDE/>
        <w:autoSpaceDN/>
        <w:spacing w:before="0" w:beforeLines="0" w:after="0" w:afterLines="0"/>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本文件适用于铜硼唑-A型（CBA-A）木材防腐剂。</w:t>
      </w:r>
    </w:p>
    <w:p w14:paraId="29986D82">
      <w:pPr>
        <w:pStyle w:val="5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6" w:name="_Toc103159536"/>
      <w:bookmarkStart w:id="7" w:name="_Toc78802404"/>
      <w:r>
        <w:rPr>
          <w:rFonts w:hint="eastAsia" w:ascii="Times New Roman" w:hAnsi="Times New Roman"/>
          <w:color w:val="000000" w:themeColor="text1"/>
          <w14:textFill>
            <w14:solidFill>
              <w14:schemeClr w14:val="tx1"/>
            </w14:solidFill>
          </w14:textFill>
        </w:rPr>
        <w:t>规范性引用文件</w:t>
      </w:r>
    </w:p>
    <w:p w14:paraId="57ADD4E3">
      <w:pPr>
        <w:pStyle w:val="65"/>
        <w:ind w:firstLine="42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2CCFF4D">
      <w:pPr>
        <w:pStyle w:val="65"/>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GB/T 9724 化学试剂 pH值测定通则</w:t>
      </w:r>
    </w:p>
    <w:p w14:paraId="4D6B09F5">
      <w:pPr>
        <w:pStyle w:val="65"/>
        <w:ind w:firstLine="42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14019 木材防腐术语</w:t>
      </w:r>
    </w:p>
    <w:p w14:paraId="1E69E5CE">
      <w:pPr>
        <w:pStyle w:val="65"/>
        <w:ind w:firstLine="42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23229</w:t>
      </w:r>
      <w:r>
        <w:rPr>
          <w:rFonts w:hint="eastAsia" w:ascii="Times New Roman" w:hAnsi="Times New Roman" w:cs="Times New Roman"/>
          <w:color w:val="000000" w:themeColor="text1"/>
          <w:lang w:eastAsia="zh-CN"/>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2023 水载型木材防腐剂的分析方法</w:t>
      </w:r>
    </w:p>
    <w:p w14:paraId="5E8C062D">
      <w:pPr>
        <w:pStyle w:val="65"/>
        <w:ind w:firstLine="42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JC/T </w:t>
      </w:r>
      <w:r>
        <w:rPr>
          <w:rFonts w:ascii="Times New Roman" w:hAnsi="Times New Roman" w:cs="Times New Roman"/>
          <w:color w:val="000000" w:themeColor="text1"/>
          <w14:textFill>
            <w14:solidFill>
              <w14:schemeClr w14:val="tx1"/>
            </w14:solidFill>
          </w14:textFill>
        </w:rPr>
        <w:t>3101</w:t>
      </w:r>
      <w:r>
        <w:rPr>
          <w:rFonts w:hint="eastAsia" w:ascii="Times New Roman" w:hAnsi="Times New Roman" w:cs="Times New Roman"/>
          <w:color w:val="000000" w:themeColor="text1"/>
          <w:lang w:eastAsia="zh-CN"/>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2026</w:t>
      </w:r>
      <w:r>
        <w:rPr>
          <w:rFonts w:hint="eastAsia" w:ascii="Times New Roman" w:hAnsi="Times New Roman" w:cs="Times New Roman"/>
          <w:color w:val="000000" w:themeColor="text1"/>
          <w14:textFill>
            <w14:solidFill>
              <w14:schemeClr w14:val="tx1"/>
            </w14:solidFill>
          </w14:textFill>
        </w:rPr>
        <w:t xml:space="preserve"> 防腐木材及木材防腐剂取样方法</w:t>
      </w:r>
    </w:p>
    <w:p w14:paraId="141A5717">
      <w:pPr>
        <w:pStyle w:val="65"/>
        <w:ind w:firstLine="42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JC/T </w:t>
      </w:r>
      <w:r>
        <w:rPr>
          <w:rFonts w:ascii="Times New Roman" w:hAnsi="Times New Roman" w:cs="Times New Roman"/>
          <w:color w:val="000000" w:themeColor="text1"/>
          <w14:textFill>
            <w14:solidFill>
              <w14:schemeClr w14:val="tx1"/>
            </w14:solidFill>
          </w14:textFill>
        </w:rPr>
        <w:t>3103</w:t>
      </w:r>
      <w:r>
        <w:rPr>
          <w:rFonts w:hint="eastAsia" w:ascii="Times New Roman" w:hAnsi="Times New Roman" w:cs="Times New Roman"/>
          <w:color w:val="000000" w:themeColor="text1"/>
          <w:lang w:eastAsia="zh-CN"/>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2026</w:t>
      </w:r>
      <w:r>
        <w:rPr>
          <w:rFonts w:hint="eastAsia" w:ascii="Times New Roman" w:hAnsi="Times New Roman" w:cs="Times New Roman"/>
          <w:color w:val="000000" w:themeColor="text1"/>
          <w14:textFill>
            <w14:solidFill>
              <w14:schemeClr w14:val="tx1"/>
            </w14:solidFill>
          </w14:textFill>
        </w:rPr>
        <w:t xml:space="preserve"> 水载型防腐剂和阻燃剂有效成分的测定</w:t>
      </w:r>
    </w:p>
    <w:p w14:paraId="3CD5E402">
      <w:pPr>
        <w:pStyle w:val="5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术语和定义</w:t>
      </w:r>
    </w:p>
    <w:p w14:paraId="7498FDA2">
      <w:pPr>
        <w:pStyle w:val="65"/>
        <w:ind w:firstLine="42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GB/T 14019界定</w:t>
      </w:r>
      <w:r>
        <w:rPr>
          <w:rFonts w:hint="eastAsia" w:ascii="Times New Roman" w:hAnsi="Times New Roman" w:cs="Times New Roman"/>
          <w:color w:val="000000" w:themeColor="text1"/>
          <w14:textFill>
            <w14:solidFill>
              <w14:schemeClr w14:val="tx1"/>
            </w14:solidFill>
          </w14:textFill>
        </w:rPr>
        <w:t>的以及下列</w:t>
      </w:r>
      <w:r>
        <w:rPr>
          <w:rFonts w:ascii="Times New Roman" w:hAnsi="Times New Roman" w:cs="Times New Roman"/>
          <w:color w:val="000000" w:themeColor="text1"/>
          <w14:textFill>
            <w14:solidFill>
              <w14:schemeClr w14:val="tx1"/>
            </w14:solidFill>
          </w14:textFill>
        </w:rPr>
        <w:t>术语和定义适用于本文件</w:t>
      </w:r>
      <w:r>
        <w:rPr>
          <w:rFonts w:hint="eastAsia" w:ascii="Times New Roman" w:hAnsi="Times New Roman" w:cs="Times New Roman"/>
          <w:color w:val="000000" w:themeColor="text1"/>
          <w14:textFill>
            <w14:solidFill>
              <w14:schemeClr w14:val="tx1"/>
            </w14:solidFill>
          </w14:textFill>
        </w:rPr>
        <w:t>。</w:t>
      </w:r>
    </w:p>
    <w:p w14:paraId="2C47390C">
      <w:pPr>
        <w:pStyle w:val="65"/>
        <w:ind w:firstLine="420"/>
        <w:rPr>
          <w:rFonts w:ascii="Times New Roman" w:hAnsi="Times New Roman" w:cs="Times New Roman"/>
          <w:color w:val="000000" w:themeColor="text1"/>
          <w14:textFill>
            <w14:solidFill>
              <w14:schemeClr w14:val="tx1"/>
            </w14:solidFill>
          </w14:textFill>
        </w:rPr>
      </w:pPr>
    </w:p>
    <w:p w14:paraId="43644B50">
      <w:pPr>
        <w:pStyle w:val="87"/>
        <w:numPr>
          <w:ilvl w:val="0"/>
          <w:numId w:val="0"/>
        </w:numP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.1 </w:t>
      </w:r>
    </w:p>
    <w:p w14:paraId="79AA209D">
      <w:pPr>
        <w:pStyle w:val="87"/>
        <w:numPr>
          <w:ilvl w:val="0"/>
          <w:numId w:val="0"/>
        </w:numPr>
        <w:ind w:firstLine="420" w:firstLineChars="20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木材防腐剂 铜硼唑-</w:t>
      </w:r>
      <w:r>
        <w:rPr>
          <w:rFonts w:ascii="Times New Roman" w:hAnsi="Times New Roman" w:cs="Times New Roman"/>
          <w:color w:val="000000" w:themeColor="text1"/>
          <w14:textFill>
            <w14:solidFill>
              <w14:schemeClr w14:val="tx1"/>
            </w14:solidFill>
          </w14:textFill>
        </w:rPr>
        <w:t>A</w:t>
      </w:r>
      <w:r>
        <w:rPr>
          <w:rFonts w:hint="eastAsia" w:ascii="Times New Roman" w:hAnsi="Times New Roman" w:cs="Times New Roman"/>
          <w:color w:val="000000" w:themeColor="text1"/>
          <w14:textFill>
            <w14:solidFill>
              <w14:schemeClr w14:val="tx1"/>
            </w14:solidFill>
          </w14:textFill>
        </w:rPr>
        <w:t>型（C</w:t>
      </w:r>
      <w:r>
        <w:rPr>
          <w:rFonts w:ascii="Times New Roman" w:hAnsi="Times New Roman" w:cs="Times New Roman"/>
          <w:color w:val="000000" w:themeColor="text1"/>
          <w14:textFill>
            <w14:solidFill>
              <w14:schemeClr w14:val="tx1"/>
            </w14:solidFill>
          </w14:textFill>
        </w:rPr>
        <w:t>B</w:t>
      </w:r>
      <w:r>
        <w:rPr>
          <w:rFonts w:hint="eastAsia" w:ascii="Times New Roman" w:hAnsi="Times New Roman" w:cs="Times New Roman"/>
          <w:color w:val="000000" w:themeColor="text1"/>
          <w14:textFill>
            <w14:solidFill>
              <w14:schemeClr w14:val="tx1"/>
            </w14:solidFill>
          </w14:textFill>
        </w:rPr>
        <w:t>A-A） wood preservative copper</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boron azole－type </w:t>
      </w:r>
      <w:r>
        <w:rPr>
          <w:rFonts w:ascii="Times New Roman" w:hAnsi="Times New Roman" w:cs="Times New Roman"/>
          <w:color w:val="000000" w:themeColor="text1"/>
          <w14:textFill>
            <w14:solidFill>
              <w14:schemeClr w14:val="tx1"/>
            </w14:solidFill>
          </w14:textFill>
        </w:rPr>
        <w:t>A</w:t>
      </w:r>
      <w:r>
        <w:rPr>
          <w:rFonts w:hint="eastAsia" w:ascii="Times New Roman" w:hAnsi="Times New Roman" w:cs="Times New Roman"/>
          <w:color w:val="000000" w:themeColor="text1"/>
          <w14:textFill>
            <w14:solidFill>
              <w14:schemeClr w14:val="tx1"/>
            </w14:solidFill>
          </w14:textFill>
        </w:rPr>
        <w:t xml:space="preserve"> (C</w:t>
      </w:r>
      <w:r>
        <w:rPr>
          <w:rFonts w:ascii="Times New Roman" w:hAnsi="Times New Roman" w:cs="Times New Roman"/>
          <w:color w:val="000000" w:themeColor="text1"/>
          <w14:textFill>
            <w14:solidFill>
              <w14:schemeClr w14:val="tx1"/>
            </w14:solidFill>
          </w14:textFill>
        </w:rPr>
        <w:t>B</w:t>
      </w:r>
      <w:r>
        <w:rPr>
          <w:rFonts w:hint="eastAsia" w:ascii="Times New Roman" w:hAnsi="Times New Roman" w:cs="Times New Roman"/>
          <w:color w:val="000000" w:themeColor="text1"/>
          <w14:textFill>
            <w14:solidFill>
              <w14:schemeClr w14:val="tx1"/>
            </w14:solidFill>
          </w14:textFill>
        </w:rPr>
        <w:t>A-</w:t>
      </w:r>
      <w:r>
        <w:rPr>
          <w:rFonts w:ascii="Times New Roman" w:hAnsi="Times New Roman" w:cs="Times New Roman"/>
          <w:color w:val="000000" w:themeColor="text1"/>
          <w14:textFill>
            <w14:solidFill>
              <w14:schemeClr w14:val="tx1"/>
            </w14:solidFill>
          </w14:textFill>
        </w:rPr>
        <w:t>A</w:t>
      </w:r>
      <w:r>
        <w:rPr>
          <w:rFonts w:hint="eastAsia" w:ascii="Times New Roman" w:hAnsi="Times New Roman" w:cs="Times New Roman"/>
          <w:color w:val="000000" w:themeColor="text1"/>
          <w14:textFill>
            <w14:solidFill>
              <w14:schemeClr w14:val="tx1"/>
            </w14:solidFill>
          </w14:textFill>
        </w:rPr>
        <w:t xml:space="preserve">) </w:t>
      </w:r>
    </w:p>
    <w:p w14:paraId="0EB21E19">
      <w:pPr>
        <w:pStyle w:val="65"/>
        <w:ind w:firstLine="42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以非水溶性的二价铜化合物</w:t>
      </w:r>
      <w:r>
        <w:rPr>
          <w:rFonts w:hint="eastAsia" w:ascii="Times New Roman" w:hAnsi="Times New Roman" w:cs="Times New Roman"/>
          <w:color w:val="000000" w:themeColor="text1"/>
          <w14:textFill>
            <w14:solidFill>
              <w14:schemeClr w14:val="tx1"/>
            </w14:solidFill>
          </w14:textFill>
        </w:rPr>
        <w:t>、硼酸</w:t>
      </w:r>
      <w:r>
        <w:rPr>
          <w:rFonts w:ascii="Times New Roman" w:hAnsi="Times New Roman" w:cs="Times New Roman"/>
          <w:color w:val="000000" w:themeColor="text1"/>
          <w14:textFill>
            <w14:solidFill>
              <w14:schemeClr w14:val="tx1"/>
            </w14:solidFill>
          </w14:textFill>
        </w:rPr>
        <w:t>和</w:t>
      </w:r>
      <w:r>
        <w:rPr>
          <w:rFonts w:hint="eastAsia" w:ascii="Times New Roman" w:hAnsi="Times New Roman" w:cs="Times New Roman"/>
          <w:color w:val="000000" w:themeColor="text1"/>
          <w14:textFill>
            <w14:solidFill>
              <w14:schemeClr w14:val="tx1"/>
            </w14:solidFill>
          </w14:textFill>
        </w:rPr>
        <w:t>戊唑醇</w:t>
      </w:r>
      <w:r>
        <w:rPr>
          <w:rFonts w:ascii="Times New Roman" w:hAnsi="Times New Roman" w:cs="Times New Roman"/>
          <w:color w:val="000000" w:themeColor="text1"/>
          <w14:textFill>
            <w14:solidFill>
              <w14:schemeClr w14:val="tx1"/>
            </w14:solidFill>
          </w14:textFill>
        </w:rPr>
        <w:t>为主要活性成分，溶解在乙醇胺</w:t>
      </w:r>
      <w:r>
        <w:rPr>
          <w:rFonts w:hint="eastAsia" w:ascii="Times New Roman" w:hAnsi="Times New Roman" w:cs="Times New Roman"/>
          <w:color w:val="000000" w:themeColor="text1"/>
          <w14:textFill>
            <w14:solidFill>
              <w14:schemeClr w14:val="tx1"/>
            </w14:solidFill>
          </w14:textFill>
        </w:rPr>
        <w:t>溶液</w:t>
      </w:r>
      <w:r>
        <w:rPr>
          <w:rFonts w:ascii="Times New Roman" w:hAnsi="Times New Roman" w:cs="Times New Roman"/>
          <w:color w:val="000000" w:themeColor="text1"/>
          <w14:textFill>
            <w14:solidFill>
              <w14:schemeClr w14:val="tx1"/>
            </w14:solidFill>
          </w14:textFill>
        </w:rPr>
        <w:t>中制得的水载型复合木材防腐剂</w:t>
      </w:r>
      <w:r>
        <w:rPr>
          <w:rFonts w:hint="eastAsia" w:ascii="Times New Roman" w:hAnsi="Times New Roman" w:cs="Times New Roman"/>
          <w:color w:val="000000" w:themeColor="text1"/>
          <w14:textFill>
            <w14:solidFill>
              <w14:schemeClr w14:val="tx1"/>
            </w14:solidFill>
          </w14:textFill>
        </w:rPr>
        <w:t>。</w:t>
      </w:r>
    </w:p>
    <w:p w14:paraId="623970AF">
      <w:pPr>
        <w:pStyle w:val="65"/>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注：非水溶性的二价铜化合物包括碱式碳酸铜、氧化铜等。</w:t>
      </w:r>
    </w:p>
    <w:p w14:paraId="50A4CDFA">
      <w:pPr>
        <w:pStyle w:val="65"/>
        <w:ind w:firstLine="420"/>
        <w:rPr>
          <w:rFonts w:ascii="Times New Roman" w:hAnsi="Times New Roman" w:cs="Times New Roman"/>
          <w:color w:val="000000" w:themeColor="text1"/>
          <w14:textFill>
            <w14:solidFill>
              <w14:schemeClr w14:val="tx1"/>
            </w14:solidFill>
          </w14:textFill>
        </w:rPr>
      </w:pPr>
    </w:p>
    <w:p w14:paraId="5D7ED8F1">
      <w:pPr>
        <w:pStyle w:val="65"/>
        <w:ind w:firstLine="420"/>
        <w:rPr>
          <w:rFonts w:ascii="Times New Roman" w:hAnsi="Times New Roman" w:cs="Times New Roman"/>
          <w:color w:val="000000" w:themeColor="text1"/>
          <w14:textFill>
            <w14:solidFill>
              <w14:schemeClr w14:val="tx1"/>
            </w14:solidFill>
          </w14:textFill>
        </w:rPr>
      </w:pPr>
    </w:p>
    <w:p w14:paraId="66558FAF">
      <w:pPr>
        <w:pStyle w:val="5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原材料</w:t>
      </w:r>
    </w:p>
    <w:p w14:paraId="7B760942">
      <w:pPr>
        <w:pStyle w:val="53"/>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铜硼唑-A型（CBA-A）木材防腐剂使用的二价铜化合物原料应为纯度大于等于95%（无水基）的碱式碳酸铜、氧化铜等，不</w:t>
      </w:r>
      <w:r>
        <w:rPr>
          <w:rFonts w:hint="eastAsia" w:ascii="Times New Roman" w:hAnsi="Times New Roman" w:eastAsia="宋体"/>
          <w:color w:val="000000" w:themeColor="text1"/>
          <w:lang w:val="en-US" w:eastAsia="zh-CN"/>
          <w14:textFill>
            <w14:solidFill>
              <w14:schemeClr w14:val="tx1"/>
            </w14:solidFill>
          </w14:textFill>
        </w:rPr>
        <w:t>应</w:t>
      </w:r>
      <w:r>
        <w:rPr>
          <w:rFonts w:hint="eastAsia" w:ascii="Times New Roman" w:hAnsi="Times New Roman" w:eastAsia="宋体"/>
          <w:color w:val="000000" w:themeColor="text1"/>
          <w14:textFill>
            <w14:solidFill>
              <w14:schemeClr w14:val="tx1"/>
            </w14:solidFill>
          </w14:textFill>
        </w:rPr>
        <w:t>用硫酸铜、氯化铜等水溶性铜盐。</w:t>
      </w:r>
    </w:p>
    <w:p w14:paraId="7A4E1D43">
      <w:pPr>
        <w:pStyle w:val="53"/>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铜硼唑-A型（CBA-A）木材防腐剂使用的硼酸（无水基）原料纯度应</w:t>
      </w:r>
      <w:r>
        <w:rPr>
          <w:rFonts w:hint="eastAsia" w:ascii="Times New Roman" w:hAnsi="Times New Roman" w:eastAsia="宋体"/>
          <w:color w:val="000000" w:themeColor="text1"/>
          <w:lang w:val="en-US" w:eastAsia="zh-CN"/>
          <w14:textFill>
            <w14:solidFill>
              <w14:schemeClr w14:val="tx1"/>
            </w14:solidFill>
          </w14:textFill>
        </w:rPr>
        <w:t>不低于</w:t>
      </w:r>
      <w:r>
        <w:rPr>
          <w:rFonts w:hint="eastAsia" w:ascii="Times New Roman" w:hAnsi="Times New Roman" w:eastAsia="宋体"/>
          <w:color w:val="000000" w:themeColor="text1"/>
          <w14:textFill>
            <w14:solidFill>
              <w14:schemeClr w14:val="tx1"/>
            </w14:solidFill>
          </w14:textFill>
        </w:rPr>
        <w:t>99.5%。</w:t>
      </w:r>
    </w:p>
    <w:p w14:paraId="21C58FF3">
      <w:pPr>
        <w:pStyle w:val="53"/>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铜硼唑-A型（CBA-A）木材防腐剂使用的戊唑醇（无水基）原料纯度应</w:t>
      </w:r>
      <w:r>
        <w:rPr>
          <w:rFonts w:hint="eastAsia" w:ascii="Times New Roman" w:hAnsi="Times New Roman" w:eastAsia="宋体"/>
          <w:color w:val="000000" w:themeColor="text1"/>
          <w:lang w:val="en-US" w:eastAsia="zh-CN"/>
          <w14:textFill>
            <w14:solidFill>
              <w14:schemeClr w14:val="tx1"/>
            </w14:solidFill>
          </w14:textFill>
        </w:rPr>
        <w:t>不低于</w:t>
      </w:r>
      <w:r>
        <w:rPr>
          <w:rFonts w:hint="eastAsia" w:ascii="Times New Roman" w:hAnsi="Times New Roman" w:eastAsia="宋体"/>
          <w:color w:val="000000" w:themeColor="text1"/>
          <w14:textFill>
            <w14:solidFill>
              <w14:schemeClr w14:val="tx1"/>
            </w14:solidFill>
          </w14:textFill>
        </w:rPr>
        <w:t>95%。</w:t>
      </w:r>
    </w:p>
    <w:p w14:paraId="33301374">
      <w:pPr>
        <w:pStyle w:val="53"/>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铜硼唑-A型（CBA-A）木材防腐剂的溶剂应采用乙醇胺溶液，乙醇胺的质量应为二价铜的3.6~4.0倍。</w:t>
      </w:r>
    </w:p>
    <w:p w14:paraId="56670921">
      <w:pPr>
        <w:pStyle w:val="5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要求</w:t>
      </w:r>
      <w:bookmarkEnd w:id="6"/>
      <w:bookmarkEnd w:id="7"/>
    </w:p>
    <w:p w14:paraId="49D61579">
      <w:pPr>
        <w:pStyle w:val="53"/>
        <w:rPr>
          <w:rFonts w:ascii="Times New Roman" w:hAnsi="Times New Roman"/>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外观</w:t>
      </w:r>
    </w:p>
    <w:p w14:paraId="35029EAC">
      <w:pPr>
        <w:pStyle w:val="53"/>
        <w:numPr>
          <w:ilvl w:val="255"/>
          <w:numId w:val="0"/>
        </w:numPr>
        <w:autoSpaceDE/>
        <w:autoSpaceDN/>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深蓝色液体，无沉淀物。</w:t>
      </w:r>
      <w:r>
        <w:rPr>
          <w:rFonts w:ascii="Times New Roman" w:hAnsi="Times New Roman"/>
          <w:color w:val="000000" w:themeColor="text1"/>
          <w14:textFill>
            <w14:solidFill>
              <w14:schemeClr w14:val="tx1"/>
            </w14:solidFill>
          </w14:textFill>
        </w:rPr>
        <w:t xml:space="preserve"> </w:t>
      </w:r>
    </w:p>
    <w:p w14:paraId="408DEC8C">
      <w:pPr>
        <w:pStyle w:val="87"/>
        <w:numPr>
          <w:ilvl w:val="255"/>
          <w:numId w:val="0"/>
        </w:num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5.2 </w:t>
      </w:r>
      <w:r>
        <w:rPr>
          <w:rFonts w:hint="eastAsia" w:ascii="Times New Roman" w:hAnsi="Times New Roman" w:eastAsia="宋体" w:cs="Times New Roman"/>
          <w:color w:val="000000" w:themeColor="text1"/>
          <w:szCs w:val="22"/>
          <w14:textFill>
            <w14:solidFill>
              <w14:schemeClr w14:val="tx1"/>
            </w14:solidFill>
          </w14:textFill>
        </w:rPr>
        <w:t>有效成分总含量和比例</w:t>
      </w:r>
    </w:p>
    <w:p w14:paraId="1FB89C51">
      <w:pPr>
        <w:pStyle w:val="53"/>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有效成分总含量应不低于1</w:t>
      </w:r>
      <w:r>
        <w:rPr>
          <w:rFonts w:ascii="Times New Roman" w:hAnsi="Times New Roman" w:eastAsia="宋体"/>
          <w:color w:val="000000" w:themeColor="text1"/>
          <w14:textFill>
            <w14:solidFill>
              <w14:schemeClr w14:val="tx1"/>
            </w14:solidFill>
          </w14:textFill>
        </w:rPr>
        <w:t>0%</w:t>
      </w:r>
      <w:r>
        <w:rPr>
          <w:rFonts w:hint="eastAsia" w:ascii="Times New Roman" w:hAnsi="Times New Roman" w:eastAsia="宋体"/>
          <w:color w:val="000000" w:themeColor="text1"/>
          <w14:textFill>
            <w14:solidFill>
              <w14:schemeClr w14:val="tx1"/>
            </w14:solidFill>
          </w14:textFill>
        </w:rPr>
        <w:t>，比例</w:t>
      </w:r>
      <w:r>
        <w:rPr>
          <w:rFonts w:hint="eastAsia" w:ascii="Times New Roman" w:hAnsi="Times New Roman" w:eastAsia="宋体"/>
          <w:color w:val="000000" w:themeColor="text1"/>
          <w:lang w:val="en-US" w:eastAsia="zh-CN"/>
          <w14:textFill>
            <w14:solidFill>
              <w14:schemeClr w14:val="tx1"/>
            </w14:solidFill>
          </w14:textFill>
        </w:rPr>
        <w:t>应</w:t>
      </w:r>
      <w:r>
        <w:rPr>
          <w:rFonts w:hint="eastAsia" w:ascii="Times New Roman" w:hAnsi="Times New Roman" w:eastAsia="宋体"/>
          <w:color w:val="000000" w:themeColor="text1"/>
          <w14:textFill>
            <w14:solidFill>
              <w14:schemeClr w14:val="tx1"/>
            </w14:solidFill>
          </w14:textFill>
        </w:rPr>
        <w:t>符合表1要求。</w:t>
      </w:r>
    </w:p>
    <w:p w14:paraId="085180A8">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表1 铜硼唑-</w:t>
      </w:r>
      <w:r>
        <w:rPr>
          <w:rFonts w:ascii="Times New Roman" w:hAnsi="Times New Roman"/>
          <w:color w:val="000000" w:themeColor="text1"/>
          <w:sz w:val="21"/>
          <w:lang w:bidi="ar"/>
          <w14:textFill>
            <w14:solidFill>
              <w14:schemeClr w14:val="tx1"/>
            </w14:solidFill>
          </w14:textFill>
        </w:rPr>
        <w:t>A</w:t>
      </w:r>
      <w:r>
        <w:rPr>
          <w:rFonts w:hint="eastAsia" w:ascii="Times New Roman" w:hAnsi="Times New Roman"/>
          <w:color w:val="000000" w:themeColor="text1"/>
          <w:sz w:val="21"/>
          <w:lang w:bidi="ar"/>
          <w14:textFill>
            <w14:solidFill>
              <w14:schemeClr w14:val="tx1"/>
            </w14:solidFill>
          </w14:textFill>
        </w:rPr>
        <w:t>型（CBA-A）木材防腐剂有效成分比例</w:t>
      </w:r>
    </w:p>
    <w:tbl>
      <w:tblPr>
        <w:tblStyle w:val="80"/>
        <w:tblW w:w="43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4" w:type="dxa"/>
          <w:bottom w:w="0" w:type="dxa"/>
          <w:right w:w="12" w:type="dxa"/>
        </w:tblCellMar>
      </w:tblPr>
      <w:tblGrid>
        <w:gridCol w:w="2136"/>
        <w:gridCol w:w="3263"/>
        <w:gridCol w:w="2692"/>
      </w:tblGrid>
      <w:tr w14:paraId="6811E137">
        <w:tblPrEx>
          <w:tblCellMar>
            <w:top w:w="57" w:type="dxa"/>
            <w:left w:w="4" w:type="dxa"/>
            <w:bottom w:w="0" w:type="dxa"/>
            <w:right w:w="12" w:type="dxa"/>
          </w:tblCellMar>
        </w:tblPrEx>
        <w:trPr>
          <w:trHeight w:val="368" w:hRule="atLeast"/>
          <w:jc w:val="center"/>
        </w:trPr>
        <w:tc>
          <w:tcPr>
            <w:tcW w:w="2136" w:type="dxa"/>
          </w:tcPr>
          <w:p w14:paraId="39C16D78">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有效成分</w:t>
            </w:r>
          </w:p>
        </w:tc>
        <w:tc>
          <w:tcPr>
            <w:tcW w:w="3263" w:type="dxa"/>
          </w:tcPr>
          <w:p w14:paraId="4C917686">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相对比例范围/</w:t>
            </w:r>
            <w:r>
              <w:rPr>
                <w:rFonts w:ascii="Times New Roman" w:hAnsi="Times New Roman"/>
                <w:color w:val="000000" w:themeColor="text1"/>
                <w:sz w:val="21"/>
                <w:lang w:bidi="ar"/>
                <w14:textFill>
                  <w14:solidFill>
                    <w14:schemeClr w14:val="tx1"/>
                  </w14:solidFill>
                </w14:textFill>
              </w:rPr>
              <w:t>%</w:t>
            </w:r>
          </w:p>
        </w:tc>
        <w:tc>
          <w:tcPr>
            <w:tcW w:w="2691" w:type="dxa"/>
          </w:tcPr>
          <w:p w14:paraId="037CDC08">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相对比例代表性值/</w:t>
            </w:r>
            <w:r>
              <w:rPr>
                <w:rFonts w:ascii="Times New Roman" w:hAnsi="Times New Roman"/>
                <w:color w:val="000000" w:themeColor="text1"/>
                <w:sz w:val="21"/>
                <w:lang w:bidi="ar"/>
                <w14:textFill>
                  <w14:solidFill>
                    <w14:schemeClr w14:val="tx1"/>
                  </w14:solidFill>
                </w14:textFill>
              </w:rPr>
              <w:t>%</w:t>
            </w:r>
          </w:p>
        </w:tc>
      </w:tr>
      <w:tr w14:paraId="102D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4" w:type="dxa"/>
            <w:bottom w:w="0" w:type="dxa"/>
            <w:right w:w="12" w:type="dxa"/>
          </w:tblCellMar>
        </w:tblPrEx>
        <w:trPr>
          <w:trHeight w:val="368" w:hRule="atLeast"/>
          <w:jc w:val="center"/>
        </w:trPr>
        <w:tc>
          <w:tcPr>
            <w:tcW w:w="2136" w:type="dxa"/>
          </w:tcPr>
          <w:p w14:paraId="10F9F1AC">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二价铜(以Cu计</w:t>
            </w:r>
            <w:r>
              <w:rPr>
                <w:rFonts w:ascii="Times New Roman" w:hAnsi="Times New Roman"/>
                <w:color w:val="000000" w:themeColor="text1"/>
                <w:sz w:val="21"/>
                <w:lang w:bidi="ar"/>
                <w14:textFill>
                  <w14:solidFill>
                    <w14:schemeClr w14:val="tx1"/>
                  </w14:solidFill>
                </w14:textFill>
              </w:rPr>
              <w:t>)</w:t>
            </w:r>
          </w:p>
        </w:tc>
        <w:tc>
          <w:tcPr>
            <w:tcW w:w="3263" w:type="dxa"/>
          </w:tcPr>
          <w:p w14:paraId="5FB8FC2B">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44.0～54.0</w:t>
            </w:r>
          </w:p>
        </w:tc>
        <w:tc>
          <w:tcPr>
            <w:tcW w:w="2691" w:type="dxa"/>
          </w:tcPr>
          <w:p w14:paraId="56AEEFA9">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4</w:t>
            </w:r>
            <w:r>
              <w:rPr>
                <w:rFonts w:ascii="Times New Roman" w:hAnsi="Times New Roman"/>
                <w:color w:val="000000" w:themeColor="text1"/>
                <w:sz w:val="21"/>
                <w:lang w:bidi="ar"/>
                <w14:textFill>
                  <w14:solidFill>
                    <w14:schemeClr w14:val="tx1"/>
                  </w14:solidFill>
                </w14:textFill>
              </w:rPr>
              <w:t>9</w:t>
            </w:r>
          </w:p>
        </w:tc>
      </w:tr>
      <w:tr w14:paraId="44AE8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4" w:type="dxa"/>
            <w:bottom w:w="0" w:type="dxa"/>
            <w:right w:w="12" w:type="dxa"/>
          </w:tblCellMar>
        </w:tblPrEx>
        <w:trPr>
          <w:trHeight w:val="353" w:hRule="atLeast"/>
          <w:jc w:val="center"/>
        </w:trPr>
        <w:tc>
          <w:tcPr>
            <w:tcW w:w="2136" w:type="dxa"/>
          </w:tcPr>
          <w:p w14:paraId="2C0F7135">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硼酸</w:t>
            </w:r>
          </w:p>
        </w:tc>
        <w:tc>
          <w:tcPr>
            <w:tcW w:w="3263" w:type="dxa"/>
          </w:tcPr>
          <w:p w14:paraId="6776D265">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44.0～54.0</w:t>
            </w:r>
          </w:p>
        </w:tc>
        <w:tc>
          <w:tcPr>
            <w:tcW w:w="2691" w:type="dxa"/>
          </w:tcPr>
          <w:p w14:paraId="54726C38">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4</w:t>
            </w:r>
            <w:r>
              <w:rPr>
                <w:rFonts w:ascii="Times New Roman" w:hAnsi="Times New Roman"/>
                <w:color w:val="000000" w:themeColor="text1"/>
                <w:sz w:val="21"/>
                <w:lang w:bidi="ar"/>
                <w14:textFill>
                  <w14:solidFill>
                    <w14:schemeClr w14:val="tx1"/>
                  </w14:solidFill>
                </w14:textFill>
              </w:rPr>
              <w:t>9</w:t>
            </w:r>
          </w:p>
        </w:tc>
      </w:tr>
      <w:tr w14:paraId="30537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4" w:type="dxa"/>
            <w:bottom w:w="0" w:type="dxa"/>
            <w:right w:w="12" w:type="dxa"/>
          </w:tblCellMar>
        </w:tblPrEx>
        <w:trPr>
          <w:trHeight w:val="90" w:hRule="atLeast"/>
          <w:jc w:val="center"/>
        </w:trPr>
        <w:tc>
          <w:tcPr>
            <w:tcW w:w="2136" w:type="dxa"/>
          </w:tcPr>
          <w:p w14:paraId="757264A8">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戊唑醇</w:t>
            </w:r>
          </w:p>
        </w:tc>
        <w:tc>
          <w:tcPr>
            <w:tcW w:w="3263" w:type="dxa"/>
          </w:tcPr>
          <w:p w14:paraId="408C7240">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1.8～2.8</w:t>
            </w:r>
          </w:p>
        </w:tc>
        <w:tc>
          <w:tcPr>
            <w:tcW w:w="2691" w:type="dxa"/>
          </w:tcPr>
          <w:p w14:paraId="6707C668">
            <w:pPr>
              <w:pStyle w:val="18"/>
              <w:tabs>
                <w:tab w:val="center" w:pos="4201"/>
                <w:tab w:val="right" w:leader="dot" w:pos="9298"/>
              </w:tabs>
              <w:spacing w:line="240" w:lineRule="auto"/>
              <w:jc w:val="center"/>
              <w:rPr>
                <w:rFonts w:ascii="Times New Roman" w:hAnsi="Times New Roman"/>
                <w:color w:val="000000" w:themeColor="text1"/>
                <w:sz w:val="21"/>
                <w:lang w:bidi="ar"/>
                <w14:textFill>
                  <w14:solidFill>
                    <w14:schemeClr w14:val="tx1"/>
                  </w14:solidFill>
                </w14:textFill>
              </w:rPr>
            </w:pPr>
            <w:r>
              <w:rPr>
                <w:rFonts w:hint="eastAsia" w:ascii="Times New Roman" w:hAnsi="Times New Roman"/>
                <w:color w:val="000000" w:themeColor="text1"/>
                <w:sz w:val="21"/>
                <w:lang w:bidi="ar"/>
                <w14:textFill>
                  <w14:solidFill>
                    <w14:schemeClr w14:val="tx1"/>
                  </w14:solidFill>
                </w14:textFill>
              </w:rPr>
              <w:t>2</w:t>
            </w:r>
          </w:p>
        </w:tc>
      </w:tr>
    </w:tbl>
    <w:p w14:paraId="0CFE631D">
      <w:pPr>
        <w:pStyle w:val="53"/>
        <w:numPr>
          <w:ilvl w:val="1"/>
          <w:numId w:val="7"/>
        </w:numPr>
        <w:spacing w:beforeLines="0" w:afterLines="0"/>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pH值</w:t>
      </w:r>
    </w:p>
    <w:p w14:paraId="162D0317">
      <w:pPr>
        <w:pStyle w:val="53"/>
        <w:numPr>
          <w:ilvl w:val="0"/>
          <w:numId w:val="0"/>
        </w:numPr>
        <w:spacing w:beforeLines="0" w:afterLines="0"/>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p</w:t>
      </w:r>
      <w:r>
        <w:rPr>
          <w:rFonts w:ascii="Times New Roman" w:hAnsi="Times New Roman"/>
          <w:color w:val="000000" w:themeColor="text1"/>
          <w14:textFill>
            <w14:solidFill>
              <w14:schemeClr w14:val="tx1"/>
            </w14:solidFill>
          </w14:textFill>
        </w:rPr>
        <w:t>H</w:t>
      </w:r>
      <w:r>
        <w:rPr>
          <w:rFonts w:hint="eastAsia" w:ascii="Times New Roman" w:hAnsi="Times New Roman"/>
          <w:color w:val="000000" w:themeColor="text1"/>
          <w14:textFill>
            <w14:solidFill>
              <w14:schemeClr w14:val="tx1"/>
            </w14:solidFill>
          </w14:textFill>
        </w:rPr>
        <w:t>值应为8</w:t>
      </w:r>
      <w:r>
        <w:rPr>
          <w:rFonts w:ascii="Times New Roman" w:hAnsi="Times New Roman"/>
          <w:color w:val="000000" w:themeColor="text1"/>
          <w14:textFill>
            <w14:solidFill>
              <w14:schemeClr w14:val="tx1"/>
            </w14:solidFill>
          </w14:textFill>
        </w:rPr>
        <w:t>.0</w:t>
      </w:r>
      <w:r>
        <w:rPr>
          <w:rFonts w:hint="eastAsia" w:ascii="Times New Roman" w:hAnsi="Times New Roman"/>
          <w:color w:val="000000" w:themeColor="text1"/>
          <w14:textFill>
            <w14:solidFill>
              <w14:schemeClr w14:val="tx1"/>
            </w14:solidFill>
          </w14:textFill>
        </w:rPr>
        <w:t>～11</w:t>
      </w:r>
      <w:r>
        <w:rPr>
          <w:rFonts w:ascii="Times New Roman" w:hAnsi="Times New Roman"/>
          <w:color w:val="000000" w:themeColor="text1"/>
          <w14:textFill>
            <w14:solidFill>
              <w14:schemeClr w14:val="tx1"/>
            </w14:solidFill>
          </w14:textFill>
        </w:rPr>
        <w:t>.0</w:t>
      </w:r>
      <w:r>
        <w:rPr>
          <w:rFonts w:hint="eastAsia" w:ascii="Times New Roman" w:hAnsi="Times New Roman"/>
          <w:color w:val="000000" w:themeColor="text1"/>
          <w14:textFill>
            <w14:solidFill>
              <w14:schemeClr w14:val="tx1"/>
            </w14:solidFill>
          </w14:textFill>
        </w:rPr>
        <w:t>。</w:t>
      </w:r>
    </w:p>
    <w:p w14:paraId="57DC3BA2">
      <w:pPr>
        <w:pStyle w:val="5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试验方法</w:t>
      </w:r>
    </w:p>
    <w:p w14:paraId="36E88B1F">
      <w:pPr>
        <w:pStyle w:val="53"/>
        <w:spacing w:beforeLines="0" w:afterLines="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外观</w:t>
      </w:r>
    </w:p>
    <w:p w14:paraId="122DF2DD">
      <w:pPr>
        <w:pStyle w:val="95"/>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在自然光下目视检查。</w:t>
      </w:r>
    </w:p>
    <w:p w14:paraId="07CAD085">
      <w:pPr>
        <w:pStyle w:val="53"/>
        <w:rPr>
          <w:rFonts w:ascii="Times New Roman" w:hAnsi="Times New Roman" w:eastAsia="宋体"/>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有效成分总含量和比例</w:t>
      </w:r>
    </w:p>
    <w:p w14:paraId="0AAE35B1">
      <w:pPr>
        <w:pStyle w:val="95"/>
        <w:rPr>
          <w:rFonts w:ascii="Times New Roman" w:hAnsi="Times New Roman"/>
          <w:color w:val="000000" w:themeColor="text1"/>
          <w14:textFill>
            <w14:solidFill>
              <w14:schemeClr w14:val="tx1"/>
            </w14:solidFill>
          </w14:textFill>
        </w:rPr>
      </w:pPr>
      <w:r>
        <w:rPr>
          <w:rFonts w:hint="eastAsia" w:ascii="Times New Roman" w:hAnsi="Times New Roman" w:eastAsia="黑体"/>
          <w:color w:val="000000" w:themeColor="text1"/>
          <w14:textFill>
            <w14:solidFill>
              <w14:schemeClr w14:val="tx1"/>
            </w14:solidFill>
          </w14:textFill>
        </w:rPr>
        <w:t xml:space="preserve">6.2.1 </w:t>
      </w:r>
      <w:r>
        <w:rPr>
          <w:rFonts w:hint="eastAsia" w:ascii="Times New Roman" w:hAnsi="Times New Roman"/>
          <w:color w:val="000000" w:themeColor="text1"/>
          <w14:textFill>
            <w14:solidFill>
              <w14:schemeClr w14:val="tx1"/>
            </w14:solidFill>
          </w14:textFill>
        </w:rPr>
        <w:t>有效成分总含量按公式（1）计算，结果保留三位有效数字。</w:t>
      </w:r>
    </w:p>
    <w:p w14:paraId="584E83B1">
      <w:pPr>
        <w:autoSpaceDE/>
        <w:autoSpaceDN/>
        <w:ind w:firstLine="3360" w:firstLineChars="1600"/>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w</w:t>
      </w:r>
      <w:r>
        <w:rPr>
          <w:rFonts w:hint="eastAsia" w:ascii="Times New Roman" w:hAnsi="Times New Roman"/>
          <w:color w:val="000000" w:themeColor="text1"/>
          <w14:textFill>
            <w14:solidFill>
              <w14:schemeClr w14:val="tx1"/>
            </w14:solidFill>
          </w14:textFill>
        </w:rPr>
        <w:t>=</w:t>
      </w:r>
      <w:r>
        <w:rPr>
          <w:rFonts w:hint="eastAsia" w:ascii="Times New Roman" w:hAnsi="Times New Roman"/>
          <w:i/>
          <w:iCs/>
          <w:color w:val="000000" w:themeColor="text1"/>
          <w14:textFill>
            <w14:solidFill>
              <w14:schemeClr w14:val="tx1"/>
            </w14:solidFill>
          </w14:textFill>
        </w:rPr>
        <w:t>w</w:t>
      </w:r>
      <w:r>
        <w:rPr>
          <w:rFonts w:hint="eastAsia" w:ascii="Times New Roman" w:hAnsi="Times New Roman"/>
          <w:color w:val="000000" w:themeColor="text1"/>
          <w:vertAlign w:val="subscript"/>
          <w14:textFill>
            <w14:solidFill>
              <w14:schemeClr w14:val="tx1"/>
            </w14:solidFill>
          </w14:textFill>
        </w:rPr>
        <w:t>1</w:t>
      </w:r>
      <w:r>
        <w:rPr>
          <w:rFonts w:hint="eastAsia" w:ascii="Times New Roman" w:hAnsi="Times New Roman"/>
          <w:color w:val="000000" w:themeColor="text1"/>
          <w14:textFill>
            <w14:solidFill>
              <w14:schemeClr w14:val="tx1"/>
            </w14:solidFill>
          </w14:textFill>
        </w:rPr>
        <w:t>+</w:t>
      </w:r>
      <w:r>
        <w:rPr>
          <w:rFonts w:hint="eastAsia" w:ascii="Times New Roman" w:hAnsi="Times New Roman"/>
          <w:i/>
          <w:iCs/>
          <w:color w:val="000000" w:themeColor="text1"/>
          <w14:textFill>
            <w14:solidFill>
              <w14:schemeClr w14:val="tx1"/>
            </w14:solidFill>
          </w14:textFill>
        </w:rPr>
        <w:t>w</w:t>
      </w:r>
      <w:r>
        <w:rPr>
          <w:rFonts w:hint="eastAsia" w:ascii="Times New Roman" w:hAnsi="Times New Roman"/>
          <w:color w:val="000000" w:themeColor="text1"/>
          <w:vertAlign w:val="subscript"/>
          <w14:textFill>
            <w14:solidFill>
              <w14:schemeClr w14:val="tx1"/>
            </w14:solidFill>
          </w14:textFill>
        </w:rPr>
        <w:t>2</w:t>
      </w:r>
      <w:r>
        <w:rPr>
          <w:rFonts w:hint="eastAsia" w:ascii="Times New Roman" w:hAnsi="Times New Roman"/>
          <w:color w:val="000000" w:themeColor="text1"/>
          <w14:textFill>
            <w14:solidFill>
              <w14:schemeClr w14:val="tx1"/>
            </w14:solidFill>
          </w14:textFill>
        </w:rPr>
        <w:t xml:space="preserve"> +</w:t>
      </w:r>
      <w:r>
        <w:rPr>
          <w:rFonts w:hint="eastAsia" w:ascii="Times New Roman" w:hAnsi="Times New Roman"/>
          <w:i/>
          <w:iCs/>
          <w:color w:val="000000" w:themeColor="text1"/>
          <w14:textFill>
            <w14:solidFill>
              <w14:schemeClr w14:val="tx1"/>
            </w14:solidFill>
          </w14:textFill>
        </w:rPr>
        <w:t>w</w:t>
      </w:r>
      <w:r>
        <w:rPr>
          <w:rFonts w:hint="eastAsia" w:ascii="Times New Roman" w:hAnsi="Times New Roman"/>
          <w:i/>
          <w:iCs/>
          <w:color w:val="000000" w:themeColor="text1"/>
          <w:vertAlign w:val="subscript"/>
          <w14:textFill>
            <w14:solidFill>
              <w14:schemeClr w14:val="tx1"/>
            </w14:solidFill>
          </w14:textFill>
        </w:rPr>
        <w:t>3</w:t>
      </w:r>
      <w:r>
        <w:rPr>
          <w:rFonts w:hint="eastAsia" w:ascii="Times New Roman" w:hAnsi="Times New Roman"/>
          <w:color w:val="000000" w:themeColor="text1"/>
          <w14:textFill>
            <w14:solidFill>
              <w14:schemeClr w14:val="tx1"/>
            </w14:solidFill>
          </w14:textFill>
        </w:rPr>
        <w:t xml:space="preserve">              …………………………………(1)</w:t>
      </w:r>
    </w:p>
    <w:p w14:paraId="571F0693">
      <w:pPr>
        <w:pStyle w:val="94"/>
        <w:ind w:firstLine="420"/>
        <w:rPr>
          <w:rFonts w:ascii="Times New Roman" w:hAnsi="Times New Roman"/>
          <w:color w:val="000000" w:themeColor="text1"/>
          <w14:textFill>
            <w14:solidFill>
              <w14:schemeClr w14:val="tx1"/>
            </w14:solidFill>
          </w14:textFill>
        </w:rPr>
      </w:pPr>
    </w:p>
    <w:p w14:paraId="5C4C171C">
      <w:pPr>
        <w:pStyle w:val="94"/>
        <w:ind w:firstLine="42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式中:</w:t>
      </w:r>
    </w:p>
    <w:p w14:paraId="6E1F619D">
      <w:pPr>
        <w:pStyle w:val="94"/>
        <w:ind w:firstLine="420"/>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w</w:t>
      </w:r>
      <w:r>
        <w:rPr>
          <w:rFonts w:hint="eastAsia" w:ascii="Times New Roman" w:hAnsi="Times New Roman"/>
          <w:color w:val="000000" w:themeColor="text1"/>
          <w14:textFill>
            <w14:solidFill>
              <w14:schemeClr w14:val="tx1"/>
            </w14:solidFill>
          </w14:textFill>
        </w:rPr>
        <w:t xml:space="preserve"> ——有效成分总含量，%；</w:t>
      </w:r>
    </w:p>
    <w:p w14:paraId="44F0B913">
      <w:pPr>
        <w:pStyle w:val="61"/>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w</w:t>
      </w:r>
      <w:r>
        <w:rPr>
          <w:rFonts w:hint="eastAsia" w:ascii="Times New Roman" w:hAnsi="Times New Roman"/>
          <w:color w:val="000000" w:themeColor="text1"/>
          <w:vertAlign w:val="subscript"/>
          <w14:textFill>
            <w14:solidFill>
              <w14:schemeClr w14:val="tx1"/>
            </w14:solidFill>
          </w14:textFill>
        </w:rPr>
        <w:t>1</w:t>
      </w:r>
      <w:r>
        <w:rPr>
          <w:rFonts w:hint="eastAsia" w:ascii="Times New Roman" w:hAnsi="Times New Roman"/>
          <w:color w:val="000000" w:themeColor="text1"/>
          <w14:textFill>
            <w14:solidFill>
              <w14:schemeClr w14:val="tx1"/>
            </w14:solidFill>
          </w14:textFill>
        </w:rPr>
        <w:t xml:space="preserve"> ——二价铜含量，%，计算方法见6.2.3.2.5</w:t>
      </w:r>
    </w:p>
    <w:p w14:paraId="0BEA4E32">
      <w:pPr>
        <w:pStyle w:val="61"/>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w</w:t>
      </w:r>
      <w:r>
        <w:rPr>
          <w:rFonts w:hint="eastAsia" w:ascii="Times New Roman" w:hAnsi="Times New Roman"/>
          <w:color w:val="000000" w:themeColor="text1"/>
          <w:vertAlign w:val="subscript"/>
          <w:lang w:val="en-US" w:eastAsia="zh-CN"/>
          <w14:textFill>
            <w14:solidFill>
              <w14:schemeClr w14:val="tx1"/>
            </w14:solidFill>
          </w14:textFill>
        </w:rPr>
        <w:t>2</w:t>
      </w:r>
      <w:r>
        <w:rPr>
          <w:rFonts w:hint="eastAsia" w:ascii="Times New Roman" w:hAnsi="Times New Roman"/>
          <w:color w:val="000000" w:themeColor="text1"/>
          <w14:textFill>
            <w14:solidFill>
              <w14:schemeClr w14:val="tx1"/>
            </w14:solidFill>
          </w14:textFill>
        </w:rPr>
        <w:t xml:space="preserve"> ——硼酸含量，%，计算方法见6.2.4.1.5</w:t>
      </w:r>
    </w:p>
    <w:p w14:paraId="7BB0A3A0">
      <w:pPr>
        <w:pStyle w:val="61"/>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w</w:t>
      </w:r>
      <w:r>
        <w:rPr>
          <w:rFonts w:hint="eastAsia" w:ascii="Times New Roman" w:hAnsi="Times New Roman"/>
          <w:color w:val="000000" w:themeColor="text1"/>
          <w:vertAlign w:val="subscript"/>
          <w14:textFill>
            <w14:solidFill>
              <w14:schemeClr w14:val="tx1"/>
            </w14:solidFill>
          </w14:textFill>
        </w:rPr>
        <w:t>3</w:t>
      </w:r>
      <w:r>
        <w:rPr>
          <w:rFonts w:hint="eastAsia" w:ascii="Times New Roman" w:hAnsi="Times New Roman"/>
          <w:color w:val="000000" w:themeColor="text1"/>
          <w14:textFill>
            <w14:solidFill>
              <w14:schemeClr w14:val="tx1"/>
            </w14:solidFill>
          </w14:textFill>
        </w:rPr>
        <w:t xml:space="preserve"> ——戊唑醇含量，%，计算方法见6</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.5</w:t>
      </w:r>
    </w:p>
    <w:p w14:paraId="5399DE5C">
      <w:pPr>
        <w:ind w:firstLine="0" w:firstLineChars="0"/>
        <w:rPr>
          <w:rFonts w:ascii="Times New Roman" w:hAnsi="Times New Roman"/>
          <w:color w:val="000000" w:themeColor="text1"/>
          <w14:textFill>
            <w14:solidFill>
              <w14:schemeClr w14:val="tx1"/>
            </w14:solidFill>
          </w14:textFill>
        </w:rPr>
      </w:pPr>
      <w:r>
        <w:rPr>
          <w:rFonts w:hint="eastAsia" w:ascii="Times New Roman" w:hAnsi="Times New Roman" w:eastAsia="黑体"/>
          <w:color w:val="000000" w:themeColor="text1"/>
          <w14:textFill>
            <w14:solidFill>
              <w14:schemeClr w14:val="tx1"/>
            </w14:solidFill>
          </w14:textFill>
        </w:rPr>
        <w:t xml:space="preserve">6.2.2 </w:t>
      </w:r>
      <w:r>
        <w:rPr>
          <w:rFonts w:hint="eastAsia" w:ascii="Times New Roman" w:hAnsi="Times New Roman"/>
          <w:color w:val="000000" w:themeColor="text1"/>
          <w14:textFill>
            <w14:solidFill>
              <w14:schemeClr w14:val="tx1"/>
            </w14:solidFill>
          </w14:textFill>
        </w:rPr>
        <w:t>有效成分比例按公式（2）、公式（</w:t>
      </w:r>
      <w:r>
        <w:rPr>
          <w:rFonts w:ascii="Times New Roman" w:hAnsi="Times New Roman"/>
          <w:color w:val="000000" w:themeColor="text1"/>
          <w14:textFill>
            <w14:solidFill>
              <w14:schemeClr w14:val="tx1"/>
            </w14:solidFill>
          </w14:textFill>
        </w:rPr>
        <w:t>3</w:t>
      </w:r>
      <w:r>
        <w:rPr>
          <w:rFonts w:hint="eastAsia" w:ascii="Times New Roman" w:hAnsi="Times New Roman"/>
          <w:color w:val="000000" w:themeColor="text1"/>
          <w14:textFill>
            <w14:solidFill>
              <w14:schemeClr w14:val="tx1"/>
            </w14:solidFill>
          </w14:textFill>
        </w:rPr>
        <w:t>）和公式（4）计算，结果保留三位有效数字。</w:t>
      </w:r>
    </w:p>
    <w:p w14:paraId="50F455EC">
      <w:pPr>
        <w:pStyle w:val="53"/>
        <w:numPr>
          <w:ilvl w:val="0"/>
          <w:numId w:val="0"/>
        </w:numPr>
        <w:autoSpaceDE/>
        <w:autoSpaceDN/>
        <w:spacing w:line="480" w:lineRule="auto"/>
        <w:ind w:firstLine="3780" w:firstLineChars="1800"/>
        <w:rPr>
          <w:rFonts w:ascii="Times New Roman" w:hAnsi="Times New Roman"/>
          <w:color w:val="000000" w:themeColor="text1"/>
          <w14:textFill>
            <w14:solidFill>
              <w14:schemeClr w14:val="tx1"/>
            </w14:solidFill>
          </w14:textFill>
        </w:rPr>
      </w:pPr>
      <m:oMath>
        <m:r>
          <m:rPr>
            <m:nor/>
          </m:rPr>
          <w:rPr>
            <w:rFonts w:ascii="Times New Roman" w:hAnsi="Times New Roman"/>
            <w:i/>
            <w:color w:val="000000" w:themeColor="text1"/>
            <w14:textFill>
              <w14:solidFill>
                <w14:schemeClr w14:val="tx1"/>
              </w14:solidFill>
            </w14:textFill>
          </w:rPr>
          <m:t>w</m:t>
        </m:r>
        <m:r>
          <m:rPr>
            <m:nor/>
            <m:sty m:val="p"/>
          </m:rPr>
          <w:rPr>
            <w:rFonts w:ascii="Times New Roman" w:hAnsi="Times New Roman"/>
            <w:b w:val="0"/>
            <w:i w:val="0"/>
            <w:color w:val="000000" w:themeColor="text1"/>
            <w:vertAlign w:val="subscript"/>
            <w14:textFill>
              <w14:solidFill>
                <w14:schemeClr w14:val="tx1"/>
              </w14:solidFill>
            </w14:textFill>
          </w:rPr>
          <m:t>1r</m:t>
        </m:r>
        <m:r>
          <m:rPr>
            <m:nor/>
            <m:sty m:val="p"/>
          </m:rPr>
          <w:rPr>
            <w:rFonts w:ascii="Times New Roman" w:hAnsi="Times New Roman"/>
            <w:b w:val="0"/>
            <w:i w:val="0"/>
            <w:color w:val="000000" w:themeColor="text1"/>
            <w14:textFill>
              <w14:solidFill>
                <w14:schemeClr w14:val="tx1"/>
              </w14:solidFill>
            </w14:textFill>
          </w:rPr>
          <m:t>=</m:t>
        </m:r>
        <m:f>
          <m:fPr>
            <m:ctrlPr>
              <w:rPr>
                <w:rFonts w:ascii="Cambria Math" w:hAnsi="Cambria Math"/>
                <w:i/>
                <w:color w:val="000000" w:themeColor="text1"/>
                <w14:textFill>
                  <w14:solidFill>
                    <w14:schemeClr w14:val="tx1"/>
                  </w14:solidFill>
                </w14:textFill>
              </w:rPr>
            </m:ctrlPr>
          </m:fPr>
          <m:num>
            <m:sSub>
              <m:sSubPr>
                <m:ctrlPr>
                  <w:rPr>
                    <w:rFonts w:ascii="Cambria Math" w:hAnsi="Cambria Math"/>
                    <w:i/>
                    <w:color w:val="000000" w:themeColor="text1"/>
                    <w14:textFill>
                      <w14:solidFill>
                        <w14:schemeClr w14:val="tx1"/>
                      </w14:solidFill>
                    </w14:textFill>
                  </w:rPr>
                </m:ctrlPr>
              </m:sSubPr>
              <m:e>
                <m:r>
                  <m:rPr>
                    <m:nor/>
                  </m:rPr>
                  <w:rPr>
                    <w:rFonts w:ascii="Times New Roman" w:hAnsi="Times New Roman"/>
                    <w:i/>
                    <w:color w:val="000000" w:themeColor="text1"/>
                    <w14:textFill>
                      <w14:solidFill>
                        <w14:schemeClr w14:val="tx1"/>
                      </w14:solidFill>
                    </w14:textFill>
                  </w:rPr>
                  <m:t>w</m:t>
                </m:r>
                <m:ctrlPr>
                  <w:rPr>
                    <w:rFonts w:ascii="Cambria Math" w:hAnsi="Cambria Math"/>
                    <w:i/>
                    <w:color w:val="000000" w:themeColor="text1"/>
                    <w14:textFill>
                      <w14:solidFill>
                        <w14:schemeClr w14:val="tx1"/>
                      </w14:solidFill>
                    </w14:textFill>
                  </w:rPr>
                </m:ctrlPr>
              </m:e>
              <m:sub>
                <m:r>
                  <m:rPr>
                    <m:nor/>
                    <m:sty m:val="p"/>
                  </m:rPr>
                  <w:rPr>
                    <w:rFonts w:ascii="Times New Roman" w:hAnsi="Times New Roman"/>
                    <w:b w:val="0"/>
                    <w:i w:val="0"/>
                    <w:color w:val="000000" w:themeColor="text1"/>
                    <w14:textFill>
                      <w14:solidFill>
                        <w14:schemeClr w14:val="tx1"/>
                      </w14:solidFill>
                    </w14:textFill>
                  </w:rPr>
                  <m:t>1</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num>
          <m:den>
            <m:r>
              <m:rPr/>
              <w:rPr>
                <w:rFonts w:ascii="Times New Roman" w:hAnsi="Times New Roman"/>
                <w:color w:val="000000" w:themeColor="text1"/>
                <w14:textFill>
                  <w14:solidFill>
                    <w14:schemeClr w14:val="tx1"/>
                  </w14:solidFill>
                </w14:textFill>
              </w:rPr>
              <m:t>w</m:t>
            </m:r>
            <m:ctrlPr>
              <w:rPr>
                <w:rFonts w:ascii="Cambria Math" w:hAnsi="Cambria Math"/>
                <w:i/>
                <w:color w:val="000000" w:themeColor="text1"/>
                <w14:textFill>
                  <w14:solidFill>
                    <w14:schemeClr w14:val="tx1"/>
                  </w14:solidFill>
                </w14:textFill>
              </w:rPr>
            </m:ctrlPr>
          </m:den>
        </m:f>
      </m:oMath>
      <w:r>
        <w:rPr>
          <w:rFonts w:hint="eastAsia" w:ascii="Times New Roman" w:hAnsi="Times New Roman"/>
          <w:color w:val="000000" w:themeColor="text1"/>
          <w14:textFill>
            <w14:solidFill>
              <w14:schemeClr w14:val="tx1"/>
            </w14:solidFill>
          </w14:textFill>
        </w:rPr>
        <w:t xml:space="preserve">              ………………………………(2)</w:t>
      </w:r>
    </w:p>
    <w:p w14:paraId="48912B28">
      <w:pPr>
        <w:pStyle w:val="53"/>
        <w:numPr>
          <w:ilvl w:val="0"/>
          <w:numId w:val="0"/>
        </w:numPr>
        <w:autoSpaceDE/>
        <w:autoSpaceDN/>
        <w:ind w:firstLine="3780" w:firstLineChars="1800"/>
        <w:rPr>
          <w:rFonts w:ascii="Times New Roman" w:hAnsi="Times New Roman"/>
          <w:color w:val="000000" w:themeColor="text1"/>
          <w14:textFill>
            <w14:solidFill>
              <w14:schemeClr w14:val="tx1"/>
            </w14:solidFill>
          </w14:textFill>
        </w:rPr>
      </w:pPr>
      <m:oMath>
        <m:r>
          <m:rPr>
            <m:nor/>
          </m:rPr>
          <w:rPr>
            <w:rFonts w:ascii="Times New Roman" w:hAnsi="Times New Roman"/>
            <w:i/>
            <w:color w:val="000000" w:themeColor="text1"/>
            <w14:textFill>
              <w14:solidFill>
                <w14:schemeClr w14:val="tx1"/>
              </w14:solidFill>
            </w14:textFill>
          </w:rPr>
          <m:t>w</m:t>
        </m:r>
        <m:r>
          <m:rPr>
            <m:nor/>
            <m:sty m:val="p"/>
          </m:rPr>
          <w:rPr>
            <w:rFonts w:ascii="Times New Roman" w:hAnsi="Times New Roman"/>
            <w:b w:val="0"/>
            <w:i w:val="0"/>
            <w:color w:val="000000" w:themeColor="text1"/>
            <w:vertAlign w:val="subscript"/>
            <w14:textFill>
              <w14:solidFill>
                <w14:schemeClr w14:val="tx1"/>
              </w14:solidFill>
            </w14:textFill>
          </w:rPr>
          <m:t>2r</m:t>
        </m:r>
        <m:r>
          <m:rPr>
            <m:nor/>
            <m:sty m:val="p"/>
          </m:rPr>
          <w:rPr>
            <w:rFonts w:ascii="Times New Roman" w:hAnsi="Times New Roman"/>
            <w:b w:val="0"/>
            <w:i w:val="0"/>
            <w:color w:val="000000" w:themeColor="text1"/>
            <w14:textFill>
              <w14:solidFill>
                <w14:schemeClr w14:val="tx1"/>
              </w14:solidFill>
            </w14:textFill>
          </w:rPr>
          <m:t>=</m:t>
        </m:r>
        <m:f>
          <m:fPr>
            <m:ctrlPr>
              <w:rPr>
                <w:rFonts w:ascii="Cambria Math" w:hAnsi="Cambria Math"/>
                <w:i/>
                <w:color w:val="000000" w:themeColor="text1"/>
                <w14:textFill>
                  <w14:solidFill>
                    <w14:schemeClr w14:val="tx1"/>
                  </w14:solidFill>
                </w14:textFill>
              </w:rPr>
            </m:ctrlPr>
          </m:fPr>
          <m:num>
            <m:sSub>
              <m:sSubPr>
                <m:ctrlPr>
                  <w:rPr>
                    <w:rFonts w:ascii="Cambria Math" w:hAnsi="Cambria Math"/>
                    <w:i/>
                    <w:color w:val="000000" w:themeColor="text1"/>
                    <w14:textFill>
                      <w14:solidFill>
                        <w14:schemeClr w14:val="tx1"/>
                      </w14:solidFill>
                    </w14:textFill>
                  </w:rPr>
                </m:ctrlPr>
              </m:sSubPr>
              <m:e>
                <m:r>
                  <m:rPr>
                    <m:nor/>
                  </m:rPr>
                  <w:rPr>
                    <w:rFonts w:ascii="Times New Roman" w:hAnsi="Times New Roman"/>
                    <w:i/>
                    <w:color w:val="000000" w:themeColor="text1"/>
                    <w14:textFill>
                      <w14:solidFill>
                        <w14:schemeClr w14:val="tx1"/>
                      </w14:solidFill>
                    </w14:textFill>
                  </w:rPr>
                  <m:t>w</m:t>
                </m:r>
                <m:ctrlPr>
                  <w:rPr>
                    <w:rFonts w:ascii="Cambria Math" w:hAnsi="Cambria Math"/>
                    <w:i/>
                    <w:color w:val="000000" w:themeColor="text1"/>
                    <w14:textFill>
                      <w14:solidFill>
                        <w14:schemeClr w14:val="tx1"/>
                      </w14:solidFill>
                    </w14:textFill>
                  </w:rPr>
                </m:ctrlPr>
              </m:e>
              <m:sub>
                <m:r>
                  <m:rPr>
                    <m:nor/>
                    <m:sty m:val="p"/>
                  </m:rPr>
                  <w:rPr>
                    <w:rFonts w:ascii="Times New Roman" w:hAnsi="Times New Roman"/>
                    <w:b w:val="0"/>
                    <w:i w:val="0"/>
                    <w:color w:val="000000" w:themeColor="text1"/>
                    <w14:textFill>
                      <w14:solidFill>
                        <w14:schemeClr w14:val="tx1"/>
                      </w14:solidFill>
                    </w14:textFill>
                  </w:rPr>
                  <m:t>2</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num>
          <m:den>
            <m:r>
              <m:rPr/>
              <w:rPr>
                <w:rFonts w:ascii="Times New Roman" w:hAnsi="Times New Roman"/>
                <w:color w:val="000000" w:themeColor="text1"/>
                <w14:textFill>
                  <w14:solidFill>
                    <w14:schemeClr w14:val="tx1"/>
                  </w14:solidFill>
                </w14:textFill>
              </w:rPr>
              <m:t>w</m:t>
            </m:r>
            <m:ctrlPr>
              <w:rPr>
                <w:rFonts w:ascii="Cambria Math" w:hAnsi="Cambria Math"/>
                <w:i/>
                <w:color w:val="000000" w:themeColor="text1"/>
                <w14:textFill>
                  <w14:solidFill>
                    <w14:schemeClr w14:val="tx1"/>
                  </w14:solidFill>
                </w14:textFill>
              </w:rPr>
            </m:ctrlPr>
          </m:den>
        </m:f>
      </m:oMath>
      <w:r>
        <w:rPr>
          <w:rFonts w:hint="eastAsia" w:ascii="Times New Roman" w:hAnsi="Times New Roman"/>
          <w:color w:val="000000" w:themeColor="text1"/>
          <w14:textFill>
            <w14:solidFill>
              <w14:schemeClr w14:val="tx1"/>
            </w14:solidFill>
          </w14:textFill>
        </w:rPr>
        <w:t xml:space="preserve">              ………………………………(3)</w:t>
      </w:r>
    </w:p>
    <w:p w14:paraId="04317101">
      <w:pPr>
        <w:pStyle w:val="53"/>
        <w:numPr>
          <w:ilvl w:val="0"/>
          <w:numId w:val="0"/>
        </w:numPr>
        <w:autoSpaceDE/>
        <w:autoSpaceDN/>
        <w:ind w:firstLine="3780" w:firstLineChars="1800"/>
        <w:rPr>
          <w:rFonts w:ascii="Times New Roman" w:hAnsi="Times New Roman"/>
          <w:color w:val="000000" w:themeColor="text1"/>
          <w14:textFill>
            <w14:solidFill>
              <w14:schemeClr w14:val="tx1"/>
            </w14:solidFill>
          </w14:textFill>
        </w:rPr>
      </w:pPr>
      <m:oMath>
        <m:r>
          <m:rPr>
            <m:nor/>
          </m:rPr>
          <w:rPr>
            <w:rFonts w:ascii="Times New Roman" w:hAnsi="Times New Roman"/>
            <w:i/>
            <w:color w:val="000000" w:themeColor="text1"/>
            <w14:textFill>
              <w14:solidFill>
                <w14:schemeClr w14:val="tx1"/>
              </w14:solidFill>
            </w14:textFill>
          </w:rPr>
          <m:t>w</m:t>
        </m:r>
        <m:r>
          <m:rPr>
            <m:nor/>
            <m:sty m:val="p"/>
          </m:rPr>
          <w:rPr>
            <w:rFonts w:ascii="Times New Roman" w:hAnsi="Times New Roman"/>
            <w:b w:val="0"/>
            <w:i w:val="0"/>
            <w:color w:val="000000" w:themeColor="text1"/>
            <w:vertAlign w:val="subscript"/>
            <w14:textFill>
              <w14:solidFill>
                <w14:schemeClr w14:val="tx1"/>
              </w14:solidFill>
            </w14:textFill>
          </w:rPr>
          <m:t>3r</m:t>
        </m:r>
        <m:r>
          <m:rPr>
            <m:nor/>
            <m:sty m:val="p"/>
          </m:rPr>
          <w:rPr>
            <w:rFonts w:ascii="Times New Roman" w:hAnsi="Times New Roman"/>
            <w:b w:val="0"/>
            <w:i w:val="0"/>
            <w:color w:val="000000" w:themeColor="text1"/>
            <w14:textFill>
              <w14:solidFill>
                <w14:schemeClr w14:val="tx1"/>
              </w14:solidFill>
            </w14:textFill>
          </w:rPr>
          <m:t>=</m:t>
        </m:r>
        <m:f>
          <m:fPr>
            <m:ctrlPr>
              <w:rPr>
                <w:rFonts w:ascii="Cambria Math" w:hAnsi="Cambria Math"/>
                <w:i/>
                <w:color w:val="000000" w:themeColor="text1"/>
                <w14:textFill>
                  <w14:solidFill>
                    <w14:schemeClr w14:val="tx1"/>
                  </w14:solidFill>
                </w14:textFill>
              </w:rPr>
            </m:ctrlPr>
          </m:fPr>
          <m:num>
            <m:sSub>
              <m:sSubPr>
                <m:ctrlPr>
                  <w:rPr>
                    <w:rFonts w:ascii="Cambria Math" w:hAnsi="Cambria Math"/>
                    <w:i/>
                    <w:color w:val="000000" w:themeColor="text1"/>
                    <w14:textFill>
                      <w14:solidFill>
                        <w14:schemeClr w14:val="tx1"/>
                      </w14:solidFill>
                    </w14:textFill>
                  </w:rPr>
                </m:ctrlPr>
              </m:sSubPr>
              <m:e>
                <m:r>
                  <m:rPr>
                    <m:nor/>
                  </m:rPr>
                  <w:rPr>
                    <w:rFonts w:ascii="Times New Roman" w:hAnsi="Times New Roman"/>
                    <w:i/>
                    <w:color w:val="000000" w:themeColor="text1"/>
                    <w14:textFill>
                      <w14:solidFill>
                        <w14:schemeClr w14:val="tx1"/>
                      </w14:solidFill>
                    </w14:textFill>
                  </w:rPr>
                  <m:t>w</m:t>
                </m:r>
                <m:ctrlPr>
                  <w:rPr>
                    <w:rFonts w:ascii="Cambria Math" w:hAnsi="Cambria Math"/>
                    <w:i/>
                    <w:color w:val="000000" w:themeColor="text1"/>
                    <w14:textFill>
                      <w14:solidFill>
                        <w14:schemeClr w14:val="tx1"/>
                      </w14:solidFill>
                    </w14:textFill>
                  </w:rPr>
                </m:ctrlPr>
              </m:e>
              <m:sub>
                <m:r>
                  <m:rPr/>
                  <w:rPr>
                    <w:rFonts w:ascii="Times New Roman" w:hAnsi="Times New Roman"/>
                    <w:color w:val="000000" w:themeColor="text1"/>
                    <w14:textFill>
                      <w14:solidFill>
                        <w14:schemeClr w14:val="tx1"/>
                      </w14:solidFill>
                    </w14:textFill>
                  </w:rPr>
                  <m:t>3</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num>
          <m:den>
            <m:r>
              <m:rPr/>
              <w:rPr>
                <w:rFonts w:ascii="Times New Roman" w:hAnsi="Times New Roman"/>
                <w:color w:val="000000" w:themeColor="text1"/>
                <w14:textFill>
                  <w14:solidFill>
                    <w14:schemeClr w14:val="tx1"/>
                  </w14:solidFill>
                </w14:textFill>
              </w:rPr>
              <m:t>w</m:t>
            </m:r>
            <m:ctrlPr>
              <w:rPr>
                <w:rFonts w:ascii="Cambria Math" w:hAnsi="Cambria Math"/>
                <w:i/>
                <w:color w:val="000000" w:themeColor="text1"/>
                <w14:textFill>
                  <w14:solidFill>
                    <w14:schemeClr w14:val="tx1"/>
                  </w14:solidFill>
                </w14:textFill>
              </w:rPr>
            </m:ctrlPr>
          </m:den>
        </m:f>
      </m:oMath>
      <w:r>
        <w:rPr>
          <w:rFonts w:hint="eastAsia" w:ascii="Times New Roman" w:hAnsi="Times New Roman"/>
          <w:color w:val="000000" w:themeColor="text1"/>
          <w14:textFill>
            <w14:solidFill>
              <w14:schemeClr w14:val="tx1"/>
            </w14:solidFill>
          </w14:textFill>
        </w:rPr>
        <w:t xml:space="preserve">              ………………………………(4)</w:t>
      </w:r>
    </w:p>
    <w:p w14:paraId="77C8F42C">
      <w:pPr>
        <w:pStyle w:val="53"/>
        <w:numPr>
          <w:ilvl w:val="0"/>
          <w:numId w:val="0"/>
        </w:numPr>
        <w:autoSpaceDE/>
        <w:autoSpaceDN/>
        <w:ind w:firstLine="3780" w:firstLineChars="1800"/>
        <w:rPr>
          <w:rFonts w:ascii="Times New Roman" w:hAnsi="Times New Roman"/>
          <w:color w:val="000000" w:themeColor="text1"/>
          <w14:textFill>
            <w14:solidFill>
              <w14:schemeClr w14:val="tx1"/>
            </w14:solidFill>
          </w14:textFill>
        </w:rPr>
      </w:pPr>
    </w:p>
    <w:p w14:paraId="734C40C1">
      <w:pPr>
        <w:jc w:val="left"/>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式中：</w:t>
      </w:r>
    </w:p>
    <w:p w14:paraId="4F5D2738">
      <w:pPr>
        <w:jc w:val="left"/>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w</w:t>
      </w:r>
      <w:r>
        <w:rPr>
          <w:rFonts w:ascii="Times New Roman" w:hAnsi="Times New Roman"/>
          <w:color w:val="000000" w:themeColor="text1"/>
          <w:vertAlign w:val="subscript"/>
          <w14:textFill>
            <w14:solidFill>
              <w14:schemeClr w14:val="tx1"/>
            </w14:solidFill>
          </w14:textFill>
        </w:rPr>
        <w:t>1</w:t>
      </w:r>
      <w:r>
        <w:rPr>
          <w:rFonts w:hint="eastAsia" w:ascii="Times New Roman" w:hAnsi="Times New Roman"/>
          <w:color w:val="000000" w:themeColor="text1"/>
          <w:vertAlign w:val="subscript"/>
          <w14:textFill>
            <w14:solidFill>
              <w14:schemeClr w14:val="tx1"/>
            </w14:solidFill>
          </w14:textFill>
        </w:rPr>
        <w:t>r</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二价铜的相对比例，%</w:t>
      </w:r>
    </w:p>
    <w:p w14:paraId="43B679F8">
      <w:pPr>
        <w:jc w:val="left"/>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w</w:t>
      </w:r>
      <w:r>
        <w:rPr>
          <w:rFonts w:ascii="Times New Roman" w:hAnsi="Times New Roman"/>
          <w:color w:val="000000" w:themeColor="text1"/>
          <w:vertAlign w:val="subscript"/>
          <w14:textFill>
            <w14:solidFill>
              <w14:schemeClr w14:val="tx1"/>
            </w14:solidFill>
          </w14:textFill>
        </w:rPr>
        <w:t>2</w:t>
      </w:r>
      <w:r>
        <w:rPr>
          <w:rFonts w:hint="eastAsia" w:ascii="Times New Roman" w:hAnsi="Times New Roman"/>
          <w:color w:val="000000" w:themeColor="text1"/>
          <w:vertAlign w:val="subscript"/>
          <w14:textFill>
            <w14:solidFill>
              <w14:schemeClr w14:val="tx1"/>
            </w14:solidFill>
          </w14:textFill>
        </w:rPr>
        <w:t>r</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硼酸的相对比例，%</w:t>
      </w:r>
    </w:p>
    <w:p w14:paraId="4A71E4C7">
      <w:pPr>
        <w:jc w:val="left"/>
        <w:rPr>
          <w:rFonts w:ascii="Times New Roman" w:hAnsi="Times New Roman" w:eastAsia="黑体"/>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w</w:t>
      </w:r>
      <w:r>
        <w:rPr>
          <w:rFonts w:ascii="Times New Roman" w:hAnsi="Times New Roman"/>
          <w:color w:val="000000" w:themeColor="text1"/>
          <w:vertAlign w:val="subscript"/>
          <w14:textFill>
            <w14:solidFill>
              <w14:schemeClr w14:val="tx1"/>
            </w14:solidFill>
          </w14:textFill>
        </w:rPr>
        <w:t>3</w:t>
      </w:r>
      <w:r>
        <w:rPr>
          <w:rFonts w:hint="eastAsia" w:ascii="Times New Roman" w:hAnsi="Times New Roman"/>
          <w:color w:val="000000" w:themeColor="text1"/>
          <w:vertAlign w:val="subscript"/>
          <w14:textFill>
            <w14:solidFill>
              <w14:schemeClr w14:val="tx1"/>
            </w14:solidFill>
          </w14:textFill>
        </w:rPr>
        <w:t>r</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戊唑醇的相对比例，%</w:t>
      </w:r>
    </w:p>
    <w:p w14:paraId="0E627D4A">
      <w:pPr>
        <w:pStyle w:val="53"/>
        <w:numPr>
          <w:ilvl w:val="255"/>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6.2.3 二价铜含量</w:t>
      </w:r>
    </w:p>
    <w:p w14:paraId="736D2EEF">
      <w:pPr>
        <w:pStyle w:val="53"/>
        <w:numPr>
          <w:ilvl w:val="255"/>
          <w:numId w:val="0"/>
        </w:numPr>
        <w:rPr>
          <w:rFonts w:ascii="Times New Roman" w:hAnsi="Times New Roman" w:eastAsiaTheme="minorEastAsia"/>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6.2.3.1 </w:t>
      </w:r>
      <w:r>
        <w:rPr>
          <w:rFonts w:hint="eastAsia" w:ascii="Times New Roman" w:hAnsi="Times New Roman" w:eastAsiaTheme="minorEastAsia"/>
          <w:color w:val="000000" w:themeColor="text1"/>
          <w14:textFill>
            <w14:solidFill>
              <w14:schemeClr w14:val="tx1"/>
            </w14:solidFill>
          </w14:textFill>
        </w:rPr>
        <w:t>二价铜含量的测定按滴定法或原子吸收光谱法进行。仲裁检验按原子吸收光谱法进行。</w:t>
      </w:r>
    </w:p>
    <w:p w14:paraId="3EAE89B9">
      <w:pPr>
        <w:pStyle w:val="53"/>
        <w:numPr>
          <w:ilvl w:val="0"/>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3.2</w:t>
      </w:r>
      <w:r>
        <w:rPr>
          <w:rFonts w:ascii="Times New Roman" w:hAnsi="Times New Roman"/>
          <w:color w:val="000000" w:themeColor="text1"/>
          <w14:textFill>
            <w14:solidFill>
              <w14:schemeClr w14:val="tx1"/>
            </w14:solidFill>
          </w14:textFill>
        </w:rPr>
        <w:t xml:space="preserve">  滴定法</w:t>
      </w:r>
    </w:p>
    <w:p w14:paraId="434E6C62">
      <w:pPr>
        <w:pStyle w:val="53"/>
        <w:numPr>
          <w:ilvl w:val="0"/>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3.2</w:t>
      </w:r>
      <w:r>
        <w:rPr>
          <w:rFonts w:ascii="Times New Roman" w:hAnsi="Times New Roman"/>
          <w:color w:val="000000" w:themeColor="text1"/>
          <w14:textFill>
            <w14:solidFill>
              <w14:schemeClr w14:val="tx1"/>
            </w14:solidFill>
          </w14:textFill>
        </w:rPr>
        <w:t>.1 试剂</w:t>
      </w:r>
    </w:p>
    <w:p w14:paraId="48E664A2">
      <w:pPr>
        <w:pStyle w:val="53"/>
        <w:numPr>
          <w:ilvl w:val="255"/>
          <w:numId w:val="0"/>
        </w:numPr>
        <w:ind w:firstLine="420" w:firstLineChars="200"/>
        <w:rPr>
          <w:rFonts w:hint="eastAsia"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lang w:val="en-US" w:eastAsia="zh-CN"/>
          <w14:textFill>
            <w14:solidFill>
              <w14:schemeClr w14:val="tx1"/>
            </w14:solidFill>
          </w14:textFill>
        </w:rPr>
        <w:t>试剂</w:t>
      </w:r>
      <w:r>
        <w:rPr>
          <w:rFonts w:hint="eastAsia" w:ascii="Times New Roman" w:hAnsi="Times New Roman" w:eastAsiaTheme="minorEastAsia"/>
          <w:color w:val="000000" w:themeColor="text1"/>
          <w14:textFill>
            <w14:solidFill>
              <w14:schemeClr w14:val="tx1"/>
            </w14:solidFill>
          </w14:textFill>
        </w:rPr>
        <w:t>应符合以下规定：</w:t>
      </w:r>
    </w:p>
    <w:p w14:paraId="49AF804E">
      <w:pPr>
        <w:pStyle w:val="53"/>
        <w:numPr>
          <w:ilvl w:val="0"/>
          <w:numId w:val="8"/>
        </w:numPr>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10%</w:t>
      </w:r>
      <w:r>
        <w:rPr>
          <w:rFonts w:hint="eastAsia" w:ascii="Times New Roman" w:hAnsi="Times New Roman" w:eastAsia="宋体" w:cs="宋体"/>
          <w:color w:val="000000" w:themeColor="text1"/>
          <w14:textFill>
            <w14:solidFill>
              <w14:schemeClr w14:val="tx1"/>
            </w14:solidFill>
          </w14:textFill>
        </w:rPr>
        <w:t>乙酸溶液；</w:t>
      </w:r>
    </w:p>
    <w:p w14:paraId="6CDA07ED">
      <w:pPr>
        <w:pStyle w:val="53"/>
        <w:numPr>
          <w:ilvl w:val="0"/>
          <w:numId w:val="8"/>
        </w:numPr>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0.1%</w:t>
      </w:r>
      <w:r>
        <w:rPr>
          <w:rFonts w:hint="eastAsia" w:ascii="Times New Roman" w:hAnsi="Times New Roman" w:eastAsia="宋体"/>
          <w:color w:val="000000" w:themeColor="text1"/>
          <w14:textFill>
            <w14:solidFill>
              <w14:schemeClr w14:val="tx1"/>
            </w14:solidFill>
          </w14:textFill>
        </w:rPr>
        <w:t>甲基百里酚蓝指示剂；</w:t>
      </w:r>
    </w:p>
    <w:p w14:paraId="036EF5E7">
      <w:pPr>
        <w:pStyle w:val="53"/>
        <w:numPr>
          <w:ilvl w:val="0"/>
          <w:numId w:val="8"/>
        </w:numPr>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0.05</w:t>
      </w:r>
      <w:r>
        <w:rPr>
          <w:rFonts w:ascii="Times New Roman" w:hAnsi="Times New Roman" w:eastAsia="宋体"/>
          <w:color w:val="000000" w:themeColor="text1"/>
          <w14:textFill>
            <w14:solidFill>
              <w14:schemeClr w14:val="tx1"/>
            </w14:solidFill>
          </w14:textFill>
        </w:rPr>
        <w:t>mol/L</w:t>
      </w:r>
      <w:r>
        <w:rPr>
          <w:rFonts w:hint="eastAsia" w:ascii="Times New Roman" w:hAnsi="Times New Roman" w:eastAsia="宋体"/>
          <w:color w:val="000000" w:themeColor="text1"/>
          <w14:textFill>
            <w14:solidFill>
              <w14:schemeClr w14:val="tx1"/>
            </w14:solidFill>
          </w14:textFill>
        </w:rPr>
        <w:t xml:space="preserve"> </w:t>
      </w:r>
      <w:r>
        <w:rPr>
          <w:rFonts w:ascii="Times New Roman" w:hAnsi="Times New Roman" w:eastAsia="宋体"/>
          <w:color w:val="000000" w:themeColor="text1"/>
          <w14:textFill>
            <w14:solidFill>
              <w14:schemeClr w14:val="tx1"/>
            </w14:solidFill>
          </w14:textFill>
        </w:rPr>
        <w:t>EDTA</w:t>
      </w:r>
      <w:r>
        <w:rPr>
          <w:rFonts w:hint="eastAsia" w:ascii="Times New Roman" w:hAnsi="Times New Roman" w:eastAsia="宋体"/>
          <w:color w:val="000000" w:themeColor="text1"/>
          <w14:textFill>
            <w14:solidFill>
              <w14:schemeClr w14:val="tx1"/>
            </w14:solidFill>
          </w14:textFill>
        </w:rPr>
        <w:t>标准溶液</w:t>
      </w:r>
      <w:r>
        <w:rPr>
          <w:rFonts w:hint="eastAsia" w:ascii="Times New Roman" w:hAnsi="Times New Roman" w:eastAsia="宋体"/>
          <w:color w:val="000000" w:themeColor="text1"/>
          <w:lang w:eastAsia="zh-CN"/>
          <w14:textFill>
            <w14:solidFill>
              <w14:schemeClr w14:val="tx1"/>
            </w14:solidFill>
          </w14:textFill>
        </w:rPr>
        <w:t>。</w:t>
      </w:r>
    </w:p>
    <w:p w14:paraId="5EE7613D">
      <w:pPr>
        <w:pStyle w:val="53"/>
        <w:numPr>
          <w:ilvl w:val="255"/>
          <w:numId w:val="0"/>
        </w:numPr>
        <w:rPr>
          <w:rFonts w:hint="eastAsia" w:ascii="Times New Roman" w:hAnsi="Times New Roman" w:eastAsia="宋体"/>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6.2.3.2.2 </w:t>
      </w:r>
      <w:r>
        <w:rPr>
          <w:rFonts w:hint="eastAsia" w:ascii="Times New Roman" w:hAnsi="Times New Roman" w:eastAsia="宋体"/>
          <w:color w:val="000000" w:themeColor="text1"/>
          <w14:textFill>
            <w14:solidFill>
              <w14:schemeClr w14:val="tx1"/>
            </w14:solidFill>
          </w14:textFill>
        </w:rPr>
        <w:t>仪器</w:t>
      </w:r>
    </w:p>
    <w:p w14:paraId="52DC5A7C">
      <w:pPr>
        <w:pStyle w:val="53"/>
        <w:numPr>
          <w:ilvl w:val="255"/>
          <w:numId w:val="0"/>
        </w:numPr>
        <w:ind w:firstLine="420" w:firstLineChars="200"/>
        <w:rPr>
          <w:rFonts w:hint="eastAsia"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lang w:val="en-US" w:eastAsia="zh-CN"/>
          <w14:textFill>
            <w14:solidFill>
              <w14:schemeClr w14:val="tx1"/>
            </w14:solidFill>
          </w14:textFill>
        </w:rPr>
        <w:t>仪器</w:t>
      </w:r>
      <w:r>
        <w:rPr>
          <w:rFonts w:hint="eastAsia" w:ascii="Times New Roman" w:hAnsi="Times New Roman" w:eastAsiaTheme="minorEastAsia"/>
          <w:color w:val="000000" w:themeColor="text1"/>
          <w14:textFill>
            <w14:solidFill>
              <w14:schemeClr w14:val="tx1"/>
            </w14:solidFill>
          </w14:textFill>
        </w:rPr>
        <w:t>应符合以下规定</w:t>
      </w:r>
      <w:r>
        <w:rPr>
          <w:rFonts w:hint="eastAsia" w:ascii="Times New Roman" w:hAnsi="Times New Roman" w:eastAsiaTheme="minorEastAsia"/>
          <w:color w:val="000000" w:themeColor="text1"/>
          <w:lang w:eastAsia="zh-CN"/>
          <w14:textFill>
            <w14:solidFill>
              <w14:schemeClr w14:val="tx1"/>
            </w14:solidFill>
          </w14:textFill>
        </w:rPr>
        <w:t>：</w:t>
      </w:r>
    </w:p>
    <w:p w14:paraId="6A883065">
      <w:pPr>
        <w:pStyle w:val="53"/>
        <w:numPr>
          <w:ilvl w:val="0"/>
          <w:numId w:val="9"/>
        </w:numPr>
        <w:ind w:firstLine="420" w:firstLineChars="200"/>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分析天平，灵敏度0</w:t>
      </w:r>
      <w:r>
        <w:rPr>
          <w:rFonts w:ascii="Times New Roman" w:hAnsi="Times New Roman" w:eastAsia="宋体"/>
          <w:color w:val="000000" w:themeColor="text1"/>
          <w14:textFill>
            <w14:solidFill>
              <w14:schemeClr w14:val="tx1"/>
            </w14:solidFill>
          </w14:textFill>
        </w:rPr>
        <w:t>.0001</w:t>
      </w:r>
      <w:r>
        <w:rPr>
          <w:rFonts w:hint="eastAsia" w:ascii="Times New Roman" w:hAnsi="Times New Roman" w:eastAsia="宋体"/>
          <w:color w:val="000000" w:themeColor="text1"/>
          <w14:textFill>
            <w14:solidFill>
              <w14:schemeClr w14:val="tx1"/>
            </w14:solidFill>
          </w14:textFill>
        </w:rPr>
        <w:t>g；</w:t>
      </w:r>
    </w:p>
    <w:p w14:paraId="05B57B5F">
      <w:pPr>
        <w:pStyle w:val="53"/>
        <w:numPr>
          <w:ilvl w:val="0"/>
          <w:numId w:val="9"/>
        </w:numPr>
        <w:ind w:firstLine="420" w:firstLineChars="200"/>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酸式滴定管，最小刻度0</w:t>
      </w:r>
      <w:r>
        <w:rPr>
          <w:rFonts w:ascii="Times New Roman" w:hAnsi="Times New Roman" w:eastAsia="宋体"/>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 xml:space="preserve"> mL</w:t>
      </w:r>
      <w:r>
        <w:rPr>
          <w:rFonts w:hint="eastAsia" w:ascii="Times New Roman" w:hAnsi="Times New Roman"/>
          <w:color w:val="000000" w:themeColor="text1"/>
          <w:lang w:eastAsia="zh-CN"/>
          <w14:textFill>
            <w14:solidFill>
              <w14:schemeClr w14:val="tx1"/>
            </w14:solidFill>
          </w14:textFill>
        </w:rPr>
        <w:t>。</w:t>
      </w:r>
    </w:p>
    <w:p w14:paraId="26CA4C32">
      <w:pPr>
        <w:pStyle w:val="53"/>
        <w:numPr>
          <w:ilvl w:val="0"/>
          <w:numId w:val="0"/>
        </w:numPr>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3.2</w:t>
      </w:r>
      <w:r>
        <w:rPr>
          <w:rFonts w:ascii="Times New Roman" w:hAnsi="Times New Roman"/>
          <w:color w:val="000000" w:themeColor="text1"/>
          <w14:textFill>
            <w14:solidFill>
              <w14:schemeClr w14:val="tx1"/>
            </w14:solidFill>
          </w14:textFill>
        </w:rPr>
        <w:t xml:space="preserve">.3 </w:t>
      </w:r>
      <w:r>
        <w:rPr>
          <w:rFonts w:hint="eastAsia" w:ascii="Times New Roman" w:hAnsi="Times New Roman"/>
          <w:color w:val="000000" w:themeColor="text1"/>
          <w14:textFill>
            <w14:solidFill>
              <w14:schemeClr w14:val="tx1"/>
            </w14:solidFill>
          </w14:textFill>
        </w:rPr>
        <w:t>试样制备</w:t>
      </w:r>
    </w:p>
    <w:p w14:paraId="2E551202">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称取试样约4g</w:t>
      </w:r>
      <w:r>
        <w:rPr>
          <w:rFonts w:hint="eastAsia" w:ascii="Times New Roman" w:hAnsi="Times New Roman"/>
          <w:color w:val="000000" w:themeColor="text1"/>
          <w:lang w:val="en-US" w:eastAsia="zh-CN"/>
          <w14:textFill>
            <w14:solidFill>
              <w14:schemeClr w14:val="tx1"/>
            </w14:solidFill>
          </w14:textFill>
        </w:rPr>
        <w:t>置于烧杯中</w:t>
      </w:r>
      <w:r>
        <w:rPr>
          <w:rFonts w:hint="eastAsia" w:ascii="Times New Roman" w:hAnsi="Times New Roman"/>
          <w:color w:val="000000" w:themeColor="text1"/>
          <w14:textFill>
            <w14:solidFill>
              <w14:schemeClr w14:val="tx1"/>
            </w14:solidFill>
          </w14:textFill>
        </w:rPr>
        <w:t>，记为</w:t>
      </w:r>
      <w:r>
        <w:rPr>
          <w:rFonts w:hint="eastAsia" w:ascii="Times New Roman" w:hAnsi="Times New Roman"/>
          <w:i/>
          <w:iCs/>
          <w:color w:val="000000" w:themeColor="text1"/>
          <w14:textFill>
            <w14:solidFill>
              <w14:schemeClr w14:val="tx1"/>
            </w14:solidFill>
          </w14:textFill>
        </w:rPr>
        <w:t>m</w:t>
      </w:r>
      <w:r>
        <w:rPr>
          <w:rFonts w:hint="eastAsia" w:ascii="Times New Roman" w:hAnsi="Times New Roman"/>
          <w:color w:val="000000" w:themeColor="text1"/>
          <w:vertAlign w:val="subscript"/>
          <w14:textFill>
            <w14:solidFill>
              <w14:schemeClr w14:val="tx1"/>
            </w14:solidFill>
          </w14:textFill>
        </w:rPr>
        <w:t>1</w:t>
      </w:r>
      <w:r>
        <w:rPr>
          <w:rFonts w:hint="eastAsia" w:ascii="Times New Roman" w:hAnsi="Times New Roman"/>
          <w:color w:val="000000" w:themeColor="text1"/>
          <w:vertAlign w:val="baseline"/>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精确至0.0001g</w:t>
      </w:r>
      <w:r>
        <w:rPr>
          <w:rFonts w:hint="eastAsia" w:ascii="Times New Roman" w:hAnsi="Times New Roman"/>
          <w:color w:val="000000" w:themeColor="text1"/>
          <w:vertAlign w:val="baseline"/>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稀释至约1</w:t>
      </w:r>
      <w:r>
        <w:rPr>
          <w:rFonts w:ascii="Times New Roman" w:hAnsi="Times New Roman"/>
          <w:color w:val="000000" w:themeColor="text1"/>
          <w14:textFill>
            <w14:solidFill>
              <w14:schemeClr w14:val="tx1"/>
            </w14:solidFill>
          </w14:textFill>
        </w:rPr>
        <w:t>00</w:t>
      </w:r>
      <w:r>
        <w:rPr>
          <w:rFonts w:hint="eastAsia" w:ascii="Times New Roman" w:hAnsi="Times New Roman"/>
          <w:color w:val="000000" w:themeColor="text1"/>
          <w14:textFill>
            <w14:solidFill>
              <w14:schemeClr w14:val="tx1"/>
            </w14:solidFill>
          </w14:textFill>
        </w:rPr>
        <w:t>g，记为m</w:t>
      </w:r>
      <w:r>
        <w:rPr>
          <w:rFonts w:hint="eastAsia" w:ascii="Times New Roman" w:hAnsi="Times New Roman"/>
          <w:color w:val="000000" w:themeColor="text1"/>
          <w:vertAlign w:val="subscript"/>
          <w14:textFill>
            <w14:solidFill>
              <w14:schemeClr w14:val="tx1"/>
            </w14:solidFill>
          </w14:textFill>
        </w:rPr>
        <w:t>2</w:t>
      </w:r>
      <w:r>
        <w:rPr>
          <w:rFonts w:hint="eastAsia" w:ascii="Times New Roman" w:hAnsi="Times New Roman"/>
          <w:color w:val="000000" w:themeColor="text1"/>
          <w14:textFill>
            <w14:solidFill>
              <w14:schemeClr w14:val="tx1"/>
            </w14:solidFill>
          </w14:textFill>
        </w:rPr>
        <w:t>。</w:t>
      </w:r>
    </w:p>
    <w:p w14:paraId="10A0A268">
      <w:pPr>
        <w:pStyle w:val="53"/>
        <w:numPr>
          <w:ilvl w:val="0"/>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6.2.3.2.4 试验步骤应符合以下规定：</w:t>
      </w:r>
    </w:p>
    <w:p w14:paraId="7D8334C9">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称取</w:t>
      </w:r>
      <w:r>
        <w:rPr>
          <w:rFonts w:hint="eastAsia" w:ascii="Times New Roman" w:hAnsi="Times New Roman"/>
          <w:color w:val="000000" w:themeColor="text1"/>
          <w:highlight w:val="none"/>
          <w14:textFill>
            <w14:solidFill>
              <w14:schemeClr w14:val="tx1"/>
            </w14:solidFill>
          </w14:textFill>
        </w:rPr>
        <w:t>6.2.3.2.3中试样溶液约</w:t>
      </w:r>
      <w:r>
        <w:rPr>
          <w:rFonts w:ascii="Times New Roman" w:hAnsi="Times New Roman"/>
          <w:color w:val="000000" w:themeColor="text1"/>
          <w:highlight w:val="none"/>
          <w14:textFill>
            <w14:solidFill>
              <w14:schemeClr w14:val="tx1"/>
            </w14:solidFill>
          </w14:textFill>
        </w:rPr>
        <w:t>10</w:t>
      </w:r>
      <w:r>
        <w:rPr>
          <w:rFonts w:hint="eastAsia" w:ascii="Times New Roman" w:hAnsi="Times New Roman"/>
          <w:color w:val="000000" w:themeColor="text1"/>
          <w:highlight w:val="none"/>
          <w14:textFill>
            <w14:solidFill>
              <w14:schemeClr w14:val="tx1"/>
            </w14:solidFill>
          </w14:textFill>
        </w:rPr>
        <w:t>g</w:t>
      </w:r>
      <w:r>
        <w:rPr>
          <w:rFonts w:hint="eastAsia" w:ascii="Times New Roman" w:hAnsi="Times New Roman"/>
          <w:color w:val="000000" w:themeColor="text1"/>
          <w:highlight w:val="none"/>
          <w:lang w:eastAsia="zh-CN"/>
          <w14:textFill>
            <w14:solidFill>
              <w14:schemeClr w14:val="tx1"/>
            </w14:solidFill>
          </w14:textFill>
        </w:rPr>
        <w:t>，</w:t>
      </w:r>
      <w:r>
        <w:rPr>
          <w:rFonts w:hint="eastAsia" w:ascii="Times New Roman" w:hAnsi="Times New Roman"/>
          <w:color w:val="000000" w:themeColor="text1"/>
          <w:highlight w:val="none"/>
          <w14:textFill>
            <w14:solidFill>
              <w14:schemeClr w14:val="tx1"/>
            </w14:solidFill>
          </w14:textFill>
        </w:rPr>
        <w:t>记为</w:t>
      </w:r>
      <w:r>
        <w:rPr>
          <w:rFonts w:ascii="Times New Roman" w:hAnsi="Times New Roman"/>
          <w:i/>
          <w:iCs/>
          <w:color w:val="000000" w:themeColor="text1"/>
          <w:highlight w:val="none"/>
          <w14:textFill>
            <w14:solidFill>
              <w14:schemeClr w14:val="tx1"/>
            </w14:solidFill>
          </w14:textFill>
        </w:rPr>
        <w:t>m</w:t>
      </w:r>
      <w:r>
        <w:rPr>
          <w:rFonts w:hint="eastAsia" w:ascii="Times New Roman" w:hAnsi="Times New Roman"/>
          <w:color w:val="000000" w:themeColor="text1"/>
          <w:highlight w:val="none"/>
          <w:vertAlign w:val="subscript"/>
          <w14:textFill>
            <w14:solidFill>
              <w14:schemeClr w14:val="tx1"/>
            </w14:solidFill>
          </w14:textFill>
        </w:rPr>
        <w:t>3</w:t>
      </w:r>
      <w:r>
        <w:rPr>
          <w:rFonts w:hint="eastAsia" w:ascii="Times New Roman" w:hAnsi="Times New Roman"/>
          <w:color w:val="000000" w:themeColor="text1"/>
          <w:vertAlign w:val="baseline"/>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精确至0.0001g</w:t>
      </w:r>
      <w:r>
        <w:rPr>
          <w:rFonts w:hint="eastAsia" w:ascii="Times New Roman" w:hAnsi="Times New Roman"/>
          <w:color w:val="000000" w:themeColor="text1"/>
          <w:highlight w:val="none"/>
          <w14:textFill>
            <w14:solidFill>
              <w14:schemeClr w14:val="tx1"/>
            </w14:solidFill>
          </w14:textFill>
        </w:rPr>
        <w:t>），</w:t>
      </w:r>
      <w:r>
        <w:rPr>
          <w:rFonts w:hint="eastAsia" w:ascii="Times New Roman" w:hAnsi="Times New Roman"/>
          <w:color w:val="000000" w:themeColor="text1"/>
          <w:highlight w:val="none"/>
          <w:lang w:val="en-US" w:eastAsia="zh-CN"/>
          <w14:textFill>
            <w14:solidFill>
              <w14:schemeClr w14:val="tx1"/>
            </w14:solidFill>
          </w14:textFill>
        </w:rPr>
        <w:t>置于</w:t>
      </w:r>
      <w:r>
        <w:rPr>
          <w:rFonts w:ascii="Times New Roman" w:hAnsi="Times New Roman"/>
          <w:color w:val="000000" w:themeColor="text1"/>
          <w:highlight w:val="none"/>
          <w14:textFill>
            <w14:solidFill>
              <w14:schemeClr w14:val="tx1"/>
            </w14:solidFill>
          </w14:textFill>
        </w:rPr>
        <w:t>250mL的锥</w:t>
      </w:r>
      <w:r>
        <w:rPr>
          <w:rFonts w:ascii="Times New Roman" w:hAnsi="Times New Roman"/>
          <w:color w:val="000000" w:themeColor="text1"/>
          <w14:textFill>
            <w14:solidFill>
              <w14:schemeClr w14:val="tx1"/>
            </w14:solidFill>
          </w14:textFill>
        </w:rPr>
        <w:t>形瓶中，加40mL水和3mL乙酸溶液，加入1mL甲基百里酚蓝指示剂，</w:t>
      </w:r>
      <w:r>
        <w:rPr>
          <w:rFonts w:hint="eastAsia" w:ascii="Times New Roman" w:hAnsi="Times New Roman"/>
          <w:color w:val="000000" w:themeColor="text1"/>
          <w14:textFill>
            <w14:solidFill>
              <w14:schemeClr w14:val="tx1"/>
            </w14:solidFill>
          </w14:textFill>
        </w:rPr>
        <w:t>充分混合</w:t>
      </w:r>
      <w:r>
        <w:rPr>
          <w:rFonts w:ascii="Times New Roman" w:hAnsi="Times New Roman"/>
          <w:color w:val="000000" w:themeColor="text1"/>
          <w14:textFill>
            <w14:solidFill>
              <w14:schemeClr w14:val="tx1"/>
            </w14:solidFill>
          </w14:textFill>
        </w:rPr>
        <w:t>，此时溶液呈深蓝色。用EDTA溶液</w:t>
      </w:r>
      <w:r>
        <w:rPr>
          <w:rFonts w:hint="eastAsia" w:ascii="Times New Roman" w:hAnsi="Times New Roman"/>
          <w:color w:val="000000" w:themeColor="text1"/>
          <w14:textFill>
            <w14:solidFill>
              <w14:schemeClr w14:val="tx1"/>
            </w14:solidFill>
          </w14:textFill>
        </w:rPr>
        <w:t>缓慢</w:t>
      </w:r>
      <w:r>
        <w:rPr>
          <w:rFonts w:ascii="Times New Roman" w:hAnsi="Times New Roman"/>
          <w:color w:val="000000" w:themeColor="text1"/>
          <w14:textFill>
            <w14:solidFill>
              <w14:schemeClr w14:val="tx1"/>
            </w14:solidFill>
          </w14:textFill>
        </w:rPr>
        <w:t>滴定至浅绿色。记录</w:t>
      </w:r>
      <w:r>
        <w:rPr>
          <w:rFonts w:hint="eastAsia" w:ascii="Times New Roman" w:hAnsi="Times New Roman"/>
          <w:color w:val="000000" w:themeColor="text1"/>
          <w14:textFill>
            <w14:solidFill>
              <w14:schemeClr w14:val="tx1"/>
            </w14:solidFill>
          </w14:textFill>
        </w:rPr>
        <w:t>消耗的</w:t>
      </w:r>
      <w:r>
        <w:rPr>
          <w:rFonts w:ascii="Times New Roman" w:hAnsi="Times New Roman"/>
          <w:color w:val="000000" w:themeColor="text1"/>
          <w14:textFill>
            <w14:solidFill>
              <w14:schemeClr w14:val="tx1"/>
            </w14:solidFill>
          </w14:textFill>
        </w:rPr>
        <w:t>EDTA</w:t>
      </w:r>
      <w:r>
        <w:rPr>
          <w:rFonts w:hint="eastAsia"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溶液体积</w:t>
      </w:r>
      <w:r>
        <w:rPr>
          <w:rFonts w:hint="eastAsia" w:ascii="Times New Roman" w:hAnsi="Times New Roman"/>
          <w:i/>
          <w:iCs/>
          <w:color w:val="000000" w:themeColor="text1"/>
          <w14:textFill>
            <w14:solidFill>
              <w14:schemeClr w14:val="tx1"/>
            </w14:solidFill>
          </w14:textFill>
        </w:rPr>
        <w:t>V</w:t>
      </w:r>
      <w:r>
        <w:rPr>
          <w:rFonts w:ascii="Times New Roman" w:hAnsi="Times New Roman"/>
          <w:color w:val="000000" w:themeColor="text1"/>
          <w14:textFill>
            <w14:solidFill>
              <w14:schemeClr w14:val="tx1"/>
            </w14:solidFill>
          </w14:textFill>
        </w:rPr>
        <w:t>。</w:t>
      </w:r>
    </w:p>
    <w:p w14:paraId="2D8D0E63">
      <w:pPr>
        <w:pStyle w:val="53"/>
        <w:numPr>
          <w:ilvl w:val="0"/>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3.2</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结果</w:t>
      </w:r>
      <w:r>
        <w:rPr>
          <w:rFonts w:ascii="Times New Roman" w:hAnsi="Times New Roman"/>
          <w:color w:val="000000" w:themeColor="text1"/>
          <w14:textFill>
            <w14:solidFill>
              <w14:schemeClr w14:val="tx1"/>
            </w14:solidFill>
          </w14:textFill>
        </w:rPr>
        <w:t>计算</w:t>
      </w:r>
      <w:r>
        <w:rPr>
          <w:rFonts w:hint="eastAsia" w:ascii="Times New Roman" w:hAnsi="Times New Roman"/>
          <w:color w:val="000000" w:themeColor="text1"/>
          <w14:textFill>
            <w14:solidFill>
              <w14:schemeClr w14:val="tx1"/>
            </w14:solidFill>
          </w14:textFill>
        </w:rPr>
        <w:t>应符合以下规定：</w:t>
      </w:r>
    </w:p>
    <w:p w14:paraId="176DC01D">
      <w:pPr>
        <w:autoSpaceDE/>
        <w:autoSpaceDN/>
        <w:rPr>
          <w:rFonts w:hint="eastAsia" w:ascii="Times New Roman" w:hAnsi="Times New Roman" w:eastAsia="宋体"/>
          <w:color w:val="000000" w:themeColor="text1"/>
          <w:lang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二价铜含量按公式（5）计算，</w:t>
      </w:r>
      <w:r>
        <w:rPr>
          <w:rFonts w:ascii="Times New Roman" w:hAnsi="Times New Roman"/>
          <w:color w:val="000000" w:themeColor="text1"/>
          <w14:textFill>
            <w14:solidFill>
              <w14:schemeClr w14:val="tx1"/>
            </w14:solidFill>
          </w14:textFill>
        </w:rPr>
        <w:t>结果保留三位有效数字。</w:t>
      </w:r>
    </w:p>
    <w:p w14:paraId="686FCB56">
      <w:pPr>
        <w:autoSpaceDE/>
        <w:autoSpaceDN/>
        <w:ind w:firstLine="0" w:firstLineChars="0"/>
        <w:jc w:val="righ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w:r>
        <w:rPr>
          <w:rFonts w:hint="eastAsia" w:ascii="Times New Roman" w:hAnsi="Times New Roman"/>
          <w:i/>
          <w:iCs/>
          <w:color w:val="000000" w:themeColor="text1"/>
          <w14:textFill>
            <w14:solidFill>
              <w14:schemeClr w14:val="tx1"/>
            </w14:solidFill>
          </w14:textFill>
        </w:rPr>
        <w:t>w</w:t>
      </w:r>
      <w:r>
        <w:rPr>
          <w:rFonts w:hint="eastAsia" w:ascii="Times New Roman" w:hAnsi="Times New Roman"/>
          <w:i/>
          <w:iCs/>
          <w:color w:val="000000" w:themeColor="text1"/>
          <w:highlight w:val="none"/>
          <w:vertAlign w:val="subscript"/>
          <w14:textFill>
            <w14:solidFill>
              <w14:schemeClr w14:val="tx1"/>
            </w14:solidFill>
          </w14:textFill>
        </w:rPr>
        <w:t>1</w:t>
      </w:r>
      <m:oMath>
        <m:r>
          <m:rPr>
            <m:nor/>
            <m:sty m:val="p"/>
          </m:rPr>
          <w:rPr>
            <w:rFonts w:ascii="Times New Roman" w:hAnsi="Times New Roman"/>
            <w:b w:val="0"/>
            <w:i w:val="0"/>
            <w:color w:val="000000" w:themeColor="text1"/>
            <w:highlight w:val="none"/>
            <w14:textFill>
              <w14:solidFill>
                <w14:schemeClr w14:val="tx1"/>
              </w14:solidFill>
            </w14:textFill>
          </w:rPr>
          <m:t>=</m:t>
        </m:r>
        <m:f>
          <m:fPr>
            <m:ctrlPr>
              <w:rPr>
                <w:rFonts w:ascii="Cambria Math" w:hAnsi="Cambria Math"/>
                <w:i/>
                <w:color w:val="000000" w:themeColor="text1"/>
                <w:highlight w:val="none"/>
                <w14:textFill>
                  <w14:solidFill>
                    <w14:schemeClr w14:val="tx1"/>
                  </w14:solidFill>
                </w14:textFill>
              </w:rPr>
            </m:ctrlPr>
          </m:fPr>
          <m:num>
            <m:r>
              <m:rPr>
                <m:nor/>
              </m:rPr>
              <w:rPr>
                <w:rFonts w:ascii="Times New Roman" w:hAnsi="Times New Roman"/>
                <w:i/>
                <w:color w:val="000000" w:themeColor="text1"/>
                <w:highlight w:val="none"/>
                <w14:textFill>
                  <w14:solidFill>
                    <w14:schemeClr w14:val="tx1"/>
                  </w14:solidFill>
                </w14:textFill>
              </w:rPr>
              <m:t>V</m:t>
            </m:r>
            <m:r>
              <m:rPr>
                <m:nor/>
                <m:sty m:val="p"/>
              </m:rPr>
              <w:rPr>
                <w:rFonts w:ascii="Times New Roman" w:hAnsi="Times New Roman"/>
                <w:b w:val="0"/>
                <w:i w:val="0"/>
                <w:color w:val="000000" w:themeColor="text1"/>
                <w:highlight w:val="none"/>
                <w14:textFill>
                  <w14:solidFill>
                    <w14:schemeClr w14:val="tx1"/>
                  </w14:solidFill>
                </w14:textFill>
              </w:rPr>
              <m:t>×</m:t>
            </m:r>
            <m:sSub>
              <m:sSubPr>
                <m:ctrlPr>
                  <w:rPr>
                    <w:rFonts w:ascii="Cambria Math" w:hAnsi="Cambria Math"/>
                    <w:i/>
                    <w:color w:val="000000" w:themeColor="text1"/>
                    <w:highlight w:val="none"/>
                    <w14:textFill>
                      <w14:solidFill>
                        <w14:schemeClr w14:val="tx1"/>
                      </w14:solidFill>
                    </w14:textFill>
                  </w:rPr>
                </m:ctrlPr>
              </m:sSubPr>
              <m:e>
                <m:r>
                  <m:rPr>
                    <m:nor/>
                  </m:rPr>
                  <w:rPr>
                    <w:rFonts w:ascii="Times New Roman" w:hAnsi="Times New Roman"/>
                    <w:i/>
                    <w:color w:val="000000" w:themeColor="text1"/>
                    <w:highlight w:val="none"/>
                    <w14:textFill>
                      <w14:solidFill>
                        <w14:schemeClr w14:val="tx1"/>
                      </w14:solidFill>
                    </w14:textFill>
                  </w:rPr>
                  <m:t>C</m:t>
                </m:r>
                <m:ctrlPr>
                  <w:rPr>
                    <w:rFonts w:ascii="Cambria Math" w:hAnsi="Cambria Math"/>
                    <w:i/>
                    <w:color w:val="000000" w:themeColor="text1"/>
                    <w:highlight w:val="none"/>
                    <w14:textFill>
                      <w14:solidFill>
                        <w14:schemeClr w14:val="tx1"/>
                      </w14:solidFill>
                    </w14:textFill>
                  </w:rPr>
                </m:ctrlPr>
              </m:e>
              <m:sub>
                <m:r>
                  <m:rPr>
                    <m:nor/>
                  </m:rPr>
                  <w:rPr>
                    <w:rFonts w:ascii="Times New Roman" w:hAnsi="Times New Roman"/>
                    <w:i/>
                    <w:color w:val="000000" w:themeColor="text1"/>
                    <w:highlight w:val="none"/>
                    <w14:textFill>
                      <w14:solidFill>
                        <w14:schemeClr w14:val="tx1"/>
                      </w14:solidFill>
                    </w14:textFill>
                  </w:rPr>
                  <m:t>EDTA</m:t>
                </m:r>
                <m:ctrlPr>
                  <w:rPr>
                    <w:rFonts w:ascii="Cambria Math" w:hAnsi="Cambria Math"/>
                    <w:i/>
                    <w:color w:val="000000" w:themeColor="text1"/>
                    <w:highlight w:val="none"/>
                    <w14:textFill>
                      <w14:solidFill>
                        <w14:schemeClr w14:val="tx1"/>
                      </w14:solidFill>
                    </w14:textFill>
                  </w:rPr>
                </m:ctrlPr>
              </m:sub>
            </m:sSub>
            <m:r>
              <m:rPr>
                <m:nor/>
                <m:sty m:val="p"/>
              </m:rPr>
              <w:rPr>
                <w:rFonts w:ascii="Times New Roman" w:hAnsi="Times New Roman"/>
                <w:b w:val="0"/>
                <w:i w:val="0"/>
                <w:color w:val="000000" w:themeColor="text1"/>
                <w:highlight w:val="none"/>
                <w14:textFill>
                  <w14:solidFill>
                    <w14:schemeClr w14:val="tx1"/>
                  </w14:solidFill>
                </w14:textFill>
              </w:rPr>
              <m:t>×6.354×</m:t>
            </m:r>
            <m:r>
              <m:rPr>
                <m:nor/>
              </m:rPr>
              <w:rPr>
                <w:rFonts w:ascii="Times New Roman" w:hAnsi="Times New Roman"/>
                <w:i/>
                <w:color w:val="000000" w:themeColor="text1"/>
                <w:highlight w:val="none"/>
                <w14:textFill>
                  <w14:solidFill>
                    <w14:schemeClr w14:val="tx1"/>
                  </w14:solidFill>
                </w14:textFill>
              </w:rPr>
              <m:t>DF</m:t>
            </m:r>
            <m:ctrlPr>
              <w:rPr>
                <w:rFonts w:ascii="Cambria Math" w:hAnsi="Cambria Math"/>
                <w:i/>
                <w:color w:val="000000" w:themeColor="text1"/>
                <w:highlight w:val="none"/>
                <w14:textFill>
                  <w14:solidFill>
                    <w14:schemeClr w14:val="tx1"/>
                  </w14:solidFill>
                </w14:textFill>
              </w:rPr>
            </m:ctrlPr>
          </m:num>
          <m:den>
            <m:sSub>
              <m:sSubPr>
                <m:ctrlPr>
                  <w:rPr>
                    <w:rFonts w:ascii="Cambria Math" w:hAnsi="Cambria Math"/>
                    <w:i/>
                    <w:color w:val="000000" w:themeColor="text1"/>
                    <w:highlight w:val="none"/>
                    <w14:textFill>
                      <w14:solidFill>
                        <w14:schemeClr w14:val="tx1"/>
                      </w14:solidFill>
                    </w14:textFill>
                  </w:rPr>
                </m:ctrlPr>
              </m:sSubPr>
              <m:e>
                <m:r>
                  <m:rPr>
                    <m:nor/>
                  </m:rPr>
                  <w:rPr>
                    <w:rFonts w:ascii="Times New Roman" w:hAnsi="Times New Roman"/>
                    <w:i/>
                    <w:color w:val="000000" w:themeColor="text1"/>
                    <w:highlight w:val="none"/>
                    <w14:textFill>
                      <w14:solidFill>
                        <w14:schemeClr w14:val="tx1"/>
                      </w14:solidFill>
                    </w14:textFill>
                  </w:rPr>
                  <m:t>m</m:t>
                </m:r>
                <m:ctrlPr>
                  <w:rPr>
                    <w:rFonts w:ascii="Cambria Math" w:hAnsi="Cambria Math"/>
                    <w:i/>
                    <w:color w:val="000000" w:themeColor="text1"/>
                    <w:highlight w:val="none"/>
                    <w14:textFill>
                      <w14:solidFill>
                        <w14:schemeClr w14:val="tx1"/>
                      </w14:solidFill>
                    </w14:textFill>
                  </w:rPr>
                </m:ctrlPr>
              </m:e>
              <m:sub>
                <m:r>
                  <m:rPr/>
                  <w:rPr>
                    <w:rFonts w:ascii="Times New Roman" w:hAnsi="Times New Roman"/>
                    <w:color w:val="000000" w:themeColor="text1"/>
                    <w:highlight w:val="none"/>
                    <w14:textFill>
                      <w14:solidFill>
                        <w14:schemeClr w14:val="tx1"/>
                      </w14:solidFill>
                    </w14:textFill>
                  </w:rPr>
                  <m:t>3</m:t>
                </m:r>
                <m:ctrlPr>
                  <w:rPr>
                    <w:rFonts w:ascii="Cambria Math" w:hAnsi="Cambria Math"/>
                    <w:i/>
                    <w:color w:val="000000" w:themeColor="text1"/>
                    <w:highlight w:val="none"/>
                    <w14:textFill>
                      <w14:solidFill>
                        <w14:schemeClr w14:val="tx1"/>
                      </w14:solidFill>
                    </w14:textFill>
                  </w:rPr>
                </m:ctrlPr>
              </m:sub>
            </m:sSub>
            <m:ctrlPr>
              <w:rPr>
                <w:rFonts w:ascii="Cambria Math" w:hAnsi="Cambria Math"/>
                <w:i/>
                <w:color w:val="000000" w:themeColor="text1"/>
                <w:highlight w:val="none"/>
                <w14:textFill>
                  <w14:solidFill>
                    <w14:schemeClr w14:val="tx1"/>
                  </w14:solidFill>
                </w14:textFill>
              </w:rPr>
            </m:ctrlPr>
          </m:den>
        </m:f>
      </m:oMath>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…………………………………(5)</w:t>
      </w:r>
    </w:p>
    <w:p w14:paraId="23D881ED">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式中：</w:t>
      </w:r>
    </w:p>
    <w:p w14:paraId="43FD3937">
      <w:pPr>
        <w:autoSpaceDE/>
        <w:autoSpaceDN/>
        <w:ind w:firstLine="0" w:firstLineChars="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w:r>
        <w:rPr>
          <w:rFonts w:hint="eastAsia" w:ascii="Times New Roman" w:hAnsi="Times New Roman"/>
          <w:i/>
          <w:iCs/>
          <w:color w:val="000000" w:themeColor="text1"/>
          <w14:textFill>
            <w14:solidFill>
              <w14:schemeClr w14:val="tx1"/>
            </w14:solidFill>
          </w14:textFill>
        </w:rPr>
        <w:t>w</w:t>
      </w:r>
      <w:r>
        <w:rPr>
          <w:rFonts w:hint="eastAsia" w:ascii="Times New Roman" w:hAnsi="Times New Roman"/>
          <w:i/>
          <w:iCs/>
          <w:color w:val="000000" w:themeColor="text1"/>
          <w:vertAlign w:val="subscript"/>
          <w14:textFill>
            <w14:solidFill>
              <w14:schemeClr w14:val="tx1"/>
            </w14:solidFill>
          </w14:textFill>
        </w:rPr>
        <w:t>1</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二价铜含量，%；</w:t>
      </w:r>
    </w:p>
    <w:p w14:paraId="6488BDD5">
      <w:pPr>
        <w:autoSpaceDE/>
        <w:autoSpaceDN/>
        <w:ind w:firstLine="630" w:firstLineChars="300"/>
        <w:rPr>
          <w:rFonts w:ascii="Times New Roman" w:hAnsi="Times New Roman"/>
          <w:color w:val="000000" w:themeColor="text1"/>
          <w14:textFill>
            <w14:solidFill>
              <w14:schemeClr w14:val="tx1"/>
            </w14:solidFill>
          </w14:textFill>
        </w:rPr>
      </w:pPr>
      <w:r>
        <w:rPr>
          <w:rFonts w:ascii="Times New Roman" w:hAnsi="Times New Roman"/>
          <w:i/>
          <w:iCs/>
          <w:color w:val="000000" w:themeColor="text1"/>
          <w14:textFill>
            <w14:solidFill>
              <w14:schemeClr w14:val="tx1"/>
            </w14:solidFill>
          </w14:textFill>
        </w:rPr>
        <w:t>V</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消耗的</w:t>
      </w:r>
      <w:r>
        <w:rPr>
          <w:rFonts w:ascii="Times New Roman" w:hAnsi="Times New Roman"/>
          <w:color w:val="000000" w:themeColor="text1"/>
          <w14:textFill>
            <w14:solidFill>
              <w14:schemeClr w14:val="tx1"/>
            </w14:solidFill>
          </w14:textFill>
        </w:rPr>
        <w:t>EDTA标准溶液的体积，单位为毫升（mL）；</w:t>
      </w:r>
    </w:p>
    <w:p w14:paraId="6CE77FD3">
      <w:pPr>
        <w:autoSpaceDE/>
        <w:autoSpaceDN/>
        <w:ind w:firstLine="0" w:firstLineChars="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i/>
          <w:iCs/>
          <w:color w:val="000000" w:themeColor="text1"/>
          <w14:textFill>
            <w14:solidFill>
              <w14:schemeClr w14:val="tx1"/>
            </w14:solidFill>
          </w14:textFill>
        </w:rPr>
        <w:t>C</w:t>
      </w:r>
      <w:r>
        <w:rPr>
          <w:rFonts w:ascii="Times New Roman" w:hAnsi="Times New Roman"/>
          <w:color w:val="000000" w:themeColor="text1"/>
          <w:vertAlign w:val="subscript"/>
          <w14:textFill>
            <w14:solidFill>
              <w14:schemeClr w14:val="tx1"/>
            </w14:solidFill>
          </w14:textFill>
        </w:rPr>
        <w:t>EDTA</w:t>
      </w:r>
      <w:r>
        <w:rPr>
          <w:rFonts w:ascii="Times New Roman" w:hAnsi="Times New Roman"/>
          <w:color w:val="000000" w:themeColor="text1"/>
          <w14:textFill>
            <w14:solidFill>
              <w14:schemeClr w14:val="tx1"/>
            </w14:solidFill>
          </w14:textFill>
        </w:rPr>
        <w:t>——EDTA标准溶液摩尔浓度，单位为摩尔每升（mol/L）；</w:t>
      </w:r>
    </w:p>
    <w:p w14:paraId="081FADA1">
      <w:pPr>
        <w:autoSpaceDE/>
        <w:autoSpaceDN/>
        <w:ind w:firstLine="630" w:firstLineChars="3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6.354——换算系数；</w:t>
      </w:r>
    </w:p>
    <w:p w14:paraId="4254A339">
      <w:pPr>
        <w:autoSpaceDE/>
        <w:autoSpaceDN/>
        <w:ind w:firstLine="630" w:firstLineChars="300"/>
        <w:rPr>
          <w:rFonts w:ascii="Times New Roman" w:hAnsi="Times New Roman"/>
          <w:color w:val="000000" w:themeColor="text1"/>
          <w14:textFill>
            <w14:solidFill>
              <w14:schemeClr w14:val="tx1"/>
            </w14:solidFill>
          </w14:textFill>
        </w:rPr>
      </w:pPr>
      <w:r>
        <w:rPr>
          <w:rFonts w:ascii="Times New Roman" w:hAnsi="Times New Roman"/>
          <w:i/>
          <w:iCs/>
          <w:color w:val="000000" w:themeColor="text1"/>
          <w14:textFill>
            <w14:solidFill>
              <w14:schemeClr w14:val="tx1"/>
            </w14:solidFill>
          </w14:textFill>
        </w:rPr>
        <w:t>DF</w:t>
      </w:r>
      <w:r>
        <w:rPr>
          <w:rFonts w:ascii="Times New Roman" w:hAnsi="Times New Roman"/>
          <w:color w:val="000000" w:themeColor="text1"/>
          <w14:textFill>
            <w14:solidFill>
              <w14:schemeClr w14:val="tx1"/>
            </w14:solidFill>
          </w14:textFill>
        </w:rPr>
        <w:t>——样品的稀释</w:t>
      </w:r>
      <w:r>
        <w:rPr>
          <w:rFonts w:ascii="Times New Roman" w:hAnsi="Times New Roman"/>
          <w:color w:val="000000" w:themeColor="text1"/>
          <w:highlight w:val="none"/>
          <w14:textFill>
            <w14:solidFill>
              <w14:schemeClr w14:val="tx1"/>
            </w14:solidFill>
          </w14:textFill>
        </w:rPr>
        <w:t>倍数</w:t>
      </w:r>
      <w:r>
        <w:rPr>
          <w:rFonts w:hint="eastAsia" w:ascii="Times New Roman" w:hAnsi="Times New Roman"/>
          <w:color w:val="000000" w:themeColor="text1"/>
          <w:highlight w:val="none"/>
          <w14:textFill>
            <w14:solidFill>
              <w14:schemeClr w14:val="tx1"/>
            </w14:solidFill>
          </w14:textFill>
        </w:rPr>
        <w:t>，计算方法见公式6</w:t>
      </w:r>
      <w:r>
        <w:rPr>
          <w:rFonts w:ascii="Times New Roman" w:hAnsi="Times New Roman"/>
          <w:color w:val="000000" w:themeColor="text1"/>
          <w:highlight w:val="none"/>
          <w14:textFill>
            <w14:solidFill>
              <w14:schemeClr w14:val="tx1"/>
            </w14:solidFill>
          </w14:textFill>
        </w:rPr>
        <w:t>；</w:t>
      </w:r>
    </w:p>
    <w:p w14:paraId="111BEA40">
      <w:pPr>
        <w:autoSpaceDE/>
        <w:autoSpaceDN/>
        <w:ind w:firstLine="630" w:firstLineChars="300"/>
        <w:rPr>
          <w:rFonts w:hint="eastAsia" w:ascii="Times New Roman" w:hAnsi="Times New Roman" w:eastAsia="宋体"/>
          <w:color w:val="000000" w:themeColor="text1"/>
          <w:lang w:eastAsia="zh-CN"/>
          <w14:textFill>
            <w14:solidFill>
              <w14:schemeClr w14:val="tx1"/>
            </w14:solidFill>
          </w14:textFill>
        </w:rPr>
      </w:pPr>
      <w:r>
        <w:rPr>
          <w:rFonts w:ascii="Times New Roman" w:hAnsi="Times New Roman"/>
          <w:i/>
          <w:iCs/>
          <w:color w:val="000000" w:themeColor="text1"/>
          <w14:textFill>
            <w14:solidFill>
              <w14:schemeClr w14:val="tx1"/>
            </w14:solidFill>
          </w14:textFill>
        </w:rPr>
        <w:t>m</w:t>
      </w:r>
      <w:r>
        <w:rPr>
          <w:rFonts w:hint="eastAsia" w:ascii="Times New Roman" w:hAnsi="Times New Roman"/>
          <w:color w:val="000000" w:themeColor="text1"/>
          <w:vertAlign w:val="subscript"/>
          <w14:textFill>
            <w14:solidFill>
              <w14:schemeClr w14:val="tx1"/>
            </w14:solidFill>
          </w14:textFill>
        </w:rPr>
        <w:t>3</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稀释后的防腐剂待测样品取样量</w:t>
      </w:r>
      <w:r>
        <w:rPr>
          <w:rFonts w:ascii="Times New Roman" w:hAnsi="Times New Roman"/>
          <w:color w:val="000000" w:themeColor="text1"/>
          <w14:textFill>
            <w14:solidFill>
              <w14:schemeClr w14:val="tx1"/>
            </w14:solidFill>
          </w14:textFill>
        </w:rPr>
        <w:t>，单位为克（g）</w:t>
      </w:r>
      <w:r>
        <w:rPr>
          <w:rFonts w:hint="eastAsia" w:ascii="Times New Roman" w:hAnsi="Times New Roman"/>
          <w:color w:val="000000" w:themeColor="text1"/>
          <w:lang w:eastAsia="zh-CN"/>
          <w14:textFill>
            <w14:solidFill>
              <w14:schemeClr w14:val="tx1"/>
            </w14:solidFill>
          </w14:textFill>
        </w:rPr>
        <w:t>。</w:t>
      </w:r>
    </w:p>
    <w:p w14:paraId="24908DCB">
      <w:pPr>
        <w:autoSpaceDE/>
        <w:autoSpaceDN/>
        <w:rPr>
          <w:rFonts w:hint="eastAsia" w:ascii="Times New Roman" w:hAnsi="Times New Roman"/>
          <w:color w:val="000000" w:themeColor="text1"/>
          <w:lang w:eastAsia="zh-CN"/>
          <w14:textFill>
            <w14:solidFill>
              <w14:schemeClr w14:val="tx1"/>
            </w14:solidFill>
          </w14:textFill>
        </w:rPr>
      </w:pPr>
    </w:p>
    <w:p w14:paraId="3FC9DA11">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样品的稀释倍数，按</w:t>
      </w:r>
      <w:r>
        <w:rPr>
          <w:rFonts w:hint="eastAsia" w:ascii="Times New Roman" w:hAnsi="Times New Roman"/>
          <w:color w:val="000000" w:themeColor="text1"/>
          <w14:textFill>
            <w14:solidFill>
              <w14:schemeClr w14:val="tx1"/>
            </w14:solidFill>
          </w14:textFill>
        </w:rPr>
        <w:t>公式</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）计算</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结果保留三位有效数字。</w:t>
      </w:r>
    </w:p>
    <w:p w14:paraId="3DBF8762">
      <w:pPr>
        <w:autoSpaceDE/>
        <w:autoSpaceDN/>
        <w:ind w:firstLine="0" w:firstLineChars="0"/>
        <w:jc w:val="righ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m:oMath>
        <m:r>
          <m:rPr>
            <m:nor/>
          </m:rPr>
          <w:rPr>
            <w:rFonts w:ascii="Times New Roman" w:hAnsi="Times New Roman"/>
            <w:i/>
            <w:color w:val="000000" w:themeColor="text1"/>
            <w14:textFill>
              <w14:solidFill>
                <w14:schemeClr w14:val="tx1"/>
              </w14:solidFill>
            </w14:textFill>
          </w:rPr>
          <m:t>DF</m:t>
        </m:r>
        <m:r>
          <m:rPr>
            <m:nor/>
            <m:sty m:val="p"/>
          </m:rPr>
          <w:rPr>
            <w:rFonts w:ascii="Times New Roman" w:hAnsi="Times New Roman"/>
            <w:b w:val="0"/>
            <w:i w:val="0"/>
            <w:color w:val="000000" w:themeColor="text1"/>
            <w14:textFill>
              <w14:solidFill>
                <w14:schemeClr w14:val="tx1"/>
              </w14:solidFill>
            </w14:textFill>
          </w:rPr>
          <m:t>=</m:t>
        </m:r>
        <m:f>
          <m:fPr>
            <m:ctrlPr>
              <w:rPr>
                <w:rFonts w:ascii="Cambria Math" w:hAnsi="Cambria Math"/>
                <w:i/>
                <w:color w:val="000000" w:themeColor="text1"/>
                <w14:textFill>
                  <w14:solidFill>
                    <w14:schemeClr w14:val="tx1"/>
                  </w14:solidFill>
                </w14:textFill>
              </w:rPr>
            </m:ctrlPr>
          </m:fPr>
          <m:num>
            <m:sSub>
              <m:sSubPr>
                <m:ctrlPr>
                  <w:rPr>
                    <w:rFonts w:ascii="Cambria Math" w:hAnsi="Cambria Math"/>
                    <w:i/>
                    <w:color w:val="000000" w:themeColor="text1"/>
                    <w14:textFill>
                      <w14:solidFill>
                        <w14:schemeClr w14:val="tx1"/>
                      </w14:solidFill>
                    </w14:textFill>
                  </w:rPr>
                </m:ctrlPr>
              </m:sSubPr>
              <m:e>
                <m:r>
                  <m:rPr>
                    <m:nor/>
                  </m:rPr>
                  <w:rPr>
                    <w:rFonts w:ascii="Times New Roman" w:hAnsi="Times New Roman"/>
                    <w:i/>
                    <w:color w:val="000000" w:themeColor="text1"/>
                    <w14:textFill>
                      <w14:solidFill>
                        <w14:schemeClr w14:val="tx1"/>
                      </w14:solidFill>
                    </w14:textFill>
                  </w:rPr>
                  <m:t>m</m:t>
                </m:r>
                <m:ctrlPr>
                  <w:rPr>
                    <w:rFonts w:ascii="Cambria Math" w:hAnsi="Cambria Math"/>
                    <w:i/>
                    <w:color w:val="000000" w:themeColor="text1"/>
                    <w14:textFill>
                      <w14:solidFill>
                        <w14:schemeClr w14:val="tx1"/>
                      </w14:solidFill>
                    </w14:textFill>
                  </w:rPr>
                </m:ctrlPr>
              </m:e>
              <m:sub>
                <m:r>
                  <m:rPr>
                    <m:nor/>
                    <m:sty m:val="p"/>
                  </m:rPr>
                  <w:rPr>
                    <w:rFonts w:ascii="Times New Roman" w:hAnsi="Times New Roman"/>
                    <w:b w:val="0"/>
                    <w:i w:val="0"/>
                    <w:color w:val="000000" w:themeColor="text1"/>
                    <w14:textFill>
                      <w14:solidFill>
                        <w14:schemeClr w14:val="tx1"/>
                      </w14:solidFill>
                    </w14:textFill>
                  </w:rPr>
                  <m:t>2</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num>
          <m:den>
            <m:sSub>
              <m:sSubPr>
                <m:ctrlPr>
                  <w:rPr>
                    <w:rFonts w:ascii="Cambria Math" w:hAnsi="Cambria Math"/>
                    <w:i/>
                    <w:color w:val="000000" w:themeColor="text1"/>
                    <w14:textFill>
                      <w14:solidFill>
                        <w14:schemeClr w14:val="tx1"/>
                      </w14:solidFill>
                    </w14:textFill>
                  </w:rPr>
                </m:ctrlPr>
              </m:sSubPr>
              <m:e>
                <m:r>
                  <m:rPr>
                    <m:nor/>
                  </m:rPr>
                  <w:rPr>
                    <w:rFonts w:ascii="Times New Roman" w:hAnsi="Times New Roman"/>
                    <w:i/>
                    <w:color w:val="000000" w:themeColor="text1"/>
                    <w14:textFill>
                      <w14:solidFill>
                        <w14:schemeClr w14:val="tx1"/>
                      </w14:solidFill>
                    </w14:textFill>
                  </w:rPr>
                  <m:t>m</m:t>
                </m:r>
                <m:ctrlPr>
                  <w:rPr>
                    <w:rFonts w:ascii="Cambria Math" w:hAnsi="Cambria Math"/>
                    <w:i/>
                    <w:color w:val="000000" w:themeColor="text1"/>
                    <w14:textFill>
                      <w14:solidFill>
                        <w14:schemeClr w14:val="tx1"/>
                      </w14:solidFill>
                    </w14:textFill>
                  </w:rPr>
                </m:ctrlPr>
              </m:e>
              <m:sub>
                <m:r>
                  <m:rPr/>
                  <w:rPr>
                    <w:rFonts w:ascii="Times New Roman" w:hAnsi="Times New Roman"/>
                    <w:color w:val="000000" w:themeColor="text1"/>
                    <w14:textFill>
                      <w14:solidFill>
                        <w14:schemeClr w14:val="tx1"/>
                      </w14:solidFill>
                    </w14:textFill>
                  </w:rPr>
                  <m:t>1</m:t>
                </m:r>
                <m:ctrlPr>
                  <w:rPr>
                    <w:rFonts w:ascii="Cambria Math" w:hAnsi="Cambria Math"/>
                    <w:i/>
                    <w:color w:val="000000" w:themeColor="text1"/>
                    <w14:textFill>
                      <w14:solidFill>
                        <w14:schemeClr w14:val="tx1"/>
                      </w14:solidFill>
                    </w14:textFill>
                  </w:rPr>
                </m:ctrlPr>
              </m:sub>
            </m:sSub>
            <m:ctrlPr>
              <w:rPr>
                <w:rFonts w:ascii="Cambria Math" w:hAnsi="Cambria Math"/>
                <w:i/>
                <w:color w:val="000000" w:themeColor="text1"/>
                <w14:textFill>
                  <w14:solidFill>
                    <w14:schemeClr w14:val="tx1"/>
                  </w14:solidFill>
                </w14:textFill>
              </w:rPr>
            </m:ctrlPr>
          </m:den>
        </m:f>
      </m:oMath>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………………………………………(6)</w:t>
      </w:r>
    </w:p>
    <w:p w14:paraId="77B97FD5">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式中：</w:t>
      </w:r>
    </w:p>
    <w:p w14:paraId="226A084A">
      <w:pPr>
        <w:autoSpaceDE/>
        <w:autoSpaceDN/>
        <w:rPr>
          <w:rFonts w:ascii="Times New Roman" w:hAnsi="Times New Roman"/>
          <w:color w:val="000000" w:themeColor="text1"/>
          <w14:textFill>
            <w14:solidFill>
              <w14:schemeClr w14:val="tx1"/>
            </w14:solidFill>
          </w14:textFill>
        </w:rPr>
      </w:pPr>
      <w:r>
        <w:rPr>
          <w:rFonts w:ascii="Times New Roman" w:hAnsi="Times New Roman"/>
          <w:i/>
          <w:iCs/>
          <w:color w:val="000000" w:themeColor="text1"/>
          <w14:textFill>
            <w14:solidFill>
              <w14:schemeClr w14:val="tx1"/>
            </w14:solidFill>
          </w14:textFill>
        </w:rPr>
        <w:t>m</w:t>
      </w:r>
      <w:r>
        <w:rPr>
          <w:rFonts w:hint="eastAsia" w:ascii="Times New Roman" w:hAnsi="Times New Roman"/>
          <w:color w:val="000000" w:themeColor="text1"/>
          <w:vertAlign w:val="subscript"/>
          <w14:textFill>
            <w14:solidFill>
              <w14:schemeClr w14:val="tx1"/>
            </w14:solidFill>
          </w14:textFill>
        </w:rPr>
        <w:t>1</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防腐剂样品取样量</w:t>
      </w:r>
      <w:r>
        <w:rPr>
          <w:rFonts w:ascii="Times New Roman" w:hAnsi="Times New Roman"/>
          <w:color w:val="000000" w:themeColor="text1"/>
          <w14:textFill>
            <w14:solidFill>
              <w14:schemeClr w14:val="tx1"/>
            </w14:solidFill>
          </w14:textFill>
        </w:rPr>
        <w:t>，单位为克（g）；</w:t>
      </w:r>
    </w:p>
    <w:p w14:paraId="58CCC6BD">
      <w:pPr>
        <w:autoSpaceDE/>
        <w:autoSpaceDN/>
        <w:rPr>
          <w:rFonts w:ascii="Times New Roman" w:hAnsi="Times New Roman"/>
          <w:color w:val="000000" w:themeColor="text1"/>
          <w14:textFill>
            <w14:solidFill>
              <w14:schemeClr w14:val="tx1"/>
            </w14:solidFill>
          </w14:textFill>
        </w:rPr>
      </w:pPr>
      <w:r>
        <w:rPr>
          <w:rFonts w:ascii="Times New Roman" w:hAnsi="Times New Roman"/>
          <w:i/>
          <w:iCs/>
          <w:color w:val="000000" w:themeColor="text1"/>
          <w14:textFill>
            <w14:solidFill>
              <w14:schemeClr w14:val="tx1"/>
            </w14:solidFill>
          </w14:textFill>
        </w:rPr>
        <w:t>m</w:t>
      </w:r>
      <w:r>
        <w:rPr>
          <w:rFonts w:hint="eastAsia" w:ascii="Times New Roman" w:hAnsi="Times New Roman"/>
          <w:color w:val="000000" w:themeColor="text1"/>
          <w:vertAlign w:val="subscript"/>
          <w14:textFill>
            <w14:solidFill>
              <w14:schemeClr w14:val="tx1"/>
            </w14:solidFill>
          </w14:textFill>
        </w:rPr>
        <w:t>2</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稀释后的防腐剂待测样品总质量，</w:t>
      </w:r>
      <w:r>
        <w:rPr>
          <w:rFonts w:ascii="Times New Roman" w:hAnsi="Times New Roman"/>
          <w:color w:val="000000" w:themeColor="text1"/>
          <w14:textFill>
            <w14:solidFill>
              <w14:schemeClr w14:val="tx1"/>
            </w14:solidFill>
          </w14:textFill>
        </w:rPr>
        <w:t>单位为克（g）。</w:t>
      </w:r>
    </w:p>
    <w:p w14:paraId="42F121EB">
      <w:pPr>
        <w:pStyle w:val="53"/>
        <w:numPr>
          <w:ilvl w:val="0"/>
          <w:numId w:val="0"/>
        </w:num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6.</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3.3</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原子吸收光谱法</w:t>
      </w:r>
    </w:p>
    <w:p w14:paraId="37AF055F">
      <w:pPr>
        <w:pStyle w:val="65"/>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按</w:t>
      </w:r>
      <w:r>
        <w:rPr>
          <w:rFonts w:ascii="Times New Roman" w:hAnsi="Times New Roman" w:cs="Times New Roman"/>
          <w:color w:val="000000" w:themeColor="text1"/>
          <w14:textFill>
            <w14:solidFill>
              <w14:schemeClr w14:val="tx1"/>
            </w14:solidFill>
          </w14:textFill>
        </w:rPr>
        <w:t>GB/T 23229-20</w:t>
      </w:r>
      <w:r>
        <w:rPr>
          <w:rFonts w:hint="eastAsia" w:ascii="Times New Roman" w:hAnsi="Times New Roman" w:cs="Times New Roman"/>
          <w:color w:val="000000" w:themeColor="text1"/>
          <w14:textFill>
            <w14:solidFill>
              <w14:schemeClr w14:val="tx1"/>
            </w14:solidFill>
          </w14:textFill>
        </w:rPr>
        <w:t>23</w:t>
      </w:r>
      <w:r>
        <w:rPr>
          <w:rFonts w:ascii="Times New Roman" w:hAnsi="Times New Roman" w:cs="Times New Roman"/>
          <w:color w:val="000000" w:themeColor="text1"/>
          <w14:textFill>
            <w14:solidFill>
              <w14:schemeClr w14:val="tx1"/>
            </w14:solidFill>
          </w14:textFill>
        </w:rPr>
        <w:t>中4.</w:t>
      </w:r>
      <w:r>
        <w:rPr>
          <w:rFonts w:hint="eastAsia" w:ascii="Times New Roman" w:hAnsi="Times New Roman" w:cs="Times New Roman"/>
          <w:color w:val="000000" w:themeColor="text1"/>
          <w14:textFill>
            <w14:solidFill>
              <w14:schemeClr w14:val="tx1"/>
            </w14:solidFill>
          </w14:textFill>
        </w:rPr>
        <w:t>1进</w:t>
      </w:r>
      <w:r>
        <w:rPr>
          <w:rFonts w:ascii="Times New Roman" w:hAnsi="Times New Roman" w:cs="Times New Roman"/>
          <w:color w:val="000000" w:themeColor="text1"/>
          <w14:textFill>
            <w14:solidFill>
              <w14:schemeClr w14:val="tx1"/>
            </w14:solidFill>
          </w14:textFill>
        </w:rPr>
        <w:t>行。</w:t>
      </w:r>
    </w:p>
    <w:p w14:paraId="506DCE8C">
      <w:pPr>
        <w:pStyle w:val="53"/>
        <w:numPr>
          <w:ilvl w:val="0"/>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6.2.3.4 电感耦合等离子体发射光谱法</w:t>
      </w:r>
    </w:p>
    <w:p w14:paraId="1F99C42D">
      <w:pPr>
        <w:pStyle w:val="65"/>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按JC/T </w:t>
      </w:r>
      <w:r>
        <w:rPr>
          <w:rFonts w:ascii="Times New Roman" w:hAnsi="Times New Roman" w:cs="Times New Roman"/>
          <w:color w:val="000000" w:themeColor="text1"/>
          <w14:textFill>
            <w14:solidFill>
              <w14:schemeClr w14:val="tx1"/>
            </w14:solidFill>
          </w14:textFill>
        </w:rPr>
        <w:t>3103-2026</w:t>
      </w:r>
      <w:r>
        <w:rPr>
          <w:rFonts w:hint="eastAsia" w:ascii="Times New Roman" w:hAnsi="Times New Roman" w:cs="Times New Roman"/>
          <w:color w:val="000000" w:themeColor="text1"/>
          <w:lang w:val="en-US" w:eastAsia="zh-CN"/>
          <w14:textFill>
            <w14:solidFill>
              <w14:schemeClr w14:val="tx1"/>
            </w14:solidFill>
          </w14:textFill>
        </w:rPr>
        <w:t>中8.5</w:t>
      </w:r>
      <w:r>
        <w:rPr>
          <w:rFonts w:hint="eastAsia" w:ascii="Times New Roman" w:hAnsi="Times New Roman" w:cs="Times New Roman"/>
          <w:color w:val="000000" w:themeColor="text1"/>
          <w14:textFill>
            <w14:solidFill>
              <w14:schemeClr w14:val="tx1"/>
            </w14:solidFill>
          </w14:textFill>
        </w:rPr>
        <w:t>进行</w:t>
      </w:r>
      <w:r>
        <w:rPr>
          <w:rFonts w:ascii="Times New Roman" w:hAnsi="Times New Roman" w:cs="Times New Roman"/>
          <w:color w:val="000000" w:themeColor="text1"/>
          <w14:textFill>
            <w14:solidFill>
              <w14:schemeClr w14:val="tx1"/>
            </w14:solidFill>
          </w14:textFill>
        </w:rPr>
        <w:t>。</w:t>
      </w:r>
    </w:p>
    <w:p w14:paraId="6907BABA">
      <w:pPr>
        <w:pStyle w:val="53"/>
        <w:numPr>
          <w:ilvl w:val="255"/>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6.2.3.5 电感耦合等离子体质谱法</w:t>
      </w:r>
    </w:p>
    <w:p w14:paraId="68935D3D">
      <w:pPr>
        <w:pStyle w:val="65"/>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按JC/T </w:t>
      </w:r>
      <w:r>
        <w:rPr>
          <w:rFonts w:ascii="Times New Roman" w:hAnsi="Times New Roman" w:cs="Times New Roman"/>
          <w:color w:val="000000" w:themeColor="text1"/>
          <w14:textFill>
            <w14:solidFill>
              <w14:schemeClr w14:val="tx1"/>
            </w14:solidFill>
          </w14:textFill>
        </w:rPr>
        <w:t>3103-2026</w:t>
      </w:r>
      <w:r>
        <w:rPr>
          <w:rFonts w:hint="eastAsia" w:ascii="Times New Roman" w:hAnsi="Times New Roman" w:cs="Times New Roman"/>
          <w:color w:val="000000" w:themeColor="text1"/>
          <w:lang w:val="en-US" w:eastAsia="zh-CN"/>
          <w14:textFill>
            <w14:solidFill>
              <w14:schemeClr w14:val="tx1"/>
            </w14:solidFill>
          </w14:textFill>
        </w:rPr>
        <w:t>中8.6</w:t>
      </w:r>
      <w:r>
        <w:rPr>
          <w:rFonts w:hint="eastAsia" w:ascii="Times New Roman" w:hAnsi="Times New Roman" w:cs="Times New Roman"/>
          <w:color w:val="000000" w:themeColor="text1"/>
          <w14:textFill>
            <w14:solidFill>
              <w14:schemeClr w14:val="tx1"/>
            </w14:solidFill>
          </w14:textFill>
        </w:rPr>
        <w:t>进行</w:t>
      </w:r>
      <w:r>
        <w:rPr>
          <w:rFonts w:ascii="Times New Roman" w:hAnsi="Times New Roman" w:cs="Times New Roman"/>
          <w:color w:val="000000" w:themeColor="text1"/>
          <w14:textFill>
            <w14:solidFill>
              <w14:schemeClr w14:val="tx1"/>
            </w14:solidFill>
          </w14:textFill>
        </w:rPr>
        <w:t>。</w:t>
      </w:r>
    </w:p>
    <w:p w14:paraId="786CEE09">
      <w:pPr>
        <w:pStyle w:val="53"/>
        <w:numPr>
          <w:ilvl w:val="255"/>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6.2.4 硼酸含量</w:t>
      </w:r>
    </w:p>
    <w:p w14:paraId="05F4B94C">
      <w:pPr>
        <w:pStyle w:val="70"/>
        <w:tabs>
          <w:tab w:val="left" w:pos="585"/>
          <w:tab w:val="left" w:pos="720"/>
        </w:tabs>
        <w:spacing w:before="156" w:after="156"/>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6.</w:t>
      </w:r>
      <w:r>
        <w:rPr>
          <w:rFonts w:hint="eastAsia" w:ascii="Times New Roman"/>
          <w:color w:val="000000" w:themeColor="text1"/>
          <w14:textFill>
            <w14:solidFill>
              <w14:schemeClr w14:val="tx1"/>
            </w14:solidFill>
          </w14:textFill>
        </w:rPr>
        <w:t>2.4.</w:t>
      </w:r>
      <w:r>
        <w:rPr>
          <w:rFonts w:ascii="Times New Roman"/>
          <w:color w:val="000000" w:themeColor="text1"/>
          <w14:textFill>
            <w14:solidFill>
              <w14:schemeClr w14:val="tx1"/>
            </w14:solidFill>
          </w14:textFill>
        </w:rPr>
        <w:t>1</w:t>
      </w:r>
      <w:r>
        <w:rPr>
          <w:rFonts w:hint="eastAsia" w:ascii="Times New Roman"/>
          <w:color w:val="000000" w:themeColor="text1"/>
          <w14:textFill>
            <w14:solidFill>
              <w14:schemeClr w14:val="tx1"/>
            </w14:solidFill>
          </w14:textFill>
        </w:rPr>
        <w:t>滴定法</w:t>
      </w:r>
    </w:p>
    <w:p w14:paraId="79ECA7E8">
      <w:pPr>
        <w:pStyle w:val="70"/>
        <w:tabs>
          <w:tab w:val="left" w:pos="585"/>
          <w:tab w:val="left" w:pos="720"/>
        </w:tabs>
        <w:spacing w:before="156" w:after="156"/>
        <w:ind w:left="0"/>
        <w:rPr>
          <w:rFonts w:hint="eastAsia"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6.</w:t>
      </w:r>
      <w:r>
        <w:rPr>
          <w:rFonts w:hint="eastAsia" w:ascii="Times New Roman"/>
          <w:color w:val="000000" w:themeColor="text1"/>
          <w14:textFill>
            <w14:solidFill>
              <w14:schemeClr w14:val="tx1"/>
            </w14:solidFill>
          </w14:textFill>
        </w:rPr>
        <w:t>2.4.</w:t>
      </w:r>
      <w:r>
        <w:rPr>
          <w:rFonts w:ascii="Times New Roman"/>
          <w:color w:val="000000" w:themeColor="text1"/>
          <w14:textFill>
            <w14:solidFill>
              <w14:schemeClr w14:val="tx1"/>
            </w14:solidFill>
          </w14:textFill>
        </w:rPr>
        <w:t>1.1</w:t>
      </w:r>
      <w:r>
        <w:rPr>
          <w:rFonts w:hint="eastAsia" w:ascii="Times New Roman"/>
          <w:color w:val="000000" w:themeColor="text1"/>
          <w14:textFill>
            <w14:solidFill>
              <w14:schemeClr w14:val="tx1"/>
            </w14:solidFill>
          </w14:textFill>
        </w:rPr>
        <w:t>试剂</w:t>
      </w:r>
    </w:p>
    <w:p w14:paraId="18754CFD">
      <w:pPr>
        <w:pStyle w:val="70"/>
        <w:tabs>
          <w:tab w:val="left" w:pos="585"/>
          <w:tab w:val="left" w:pos="720"/>
        </w:tabs>
        <w:spacing w:before="156" w:after="156"/>
        <w:ind w:left="0" w:firstLine="420" w:firstLineChars="200"/>
        <w:rPr>
          <w:rFonts w:hint="eastAsia" w:ascii="Times New Roman" w:eastAsia="宋体"/>
          <w:color w:val="000000" w:themeColor="text1"/>
          <w:szCs w:val="22"/>
          <w:lang w:eastAsia="zh-CN"/>
          <w14:textFill>
            <w14:solidFill>
              <w14:schemeClr w14:val="tx1"/>
            </w14:solidFill>
          </w14:textFill>
        </w:rPr>
      </w:pPr>
      <w:r>
        <w:rPr>
          <w:rFonts w:hint="eastAsia" w:ascii="Times New Roman" w:eastAsia="宋体"/>
          <w:color w:val="000000" w:themeColor="text1"/>
          <w:szCs w:val="22"/>
          <w:lang w:val="en-US" w:eastAsia="zh-CN"/>
          <w14:textFill>
            <w14:solidFill>
              <w14:schemeClr w14:val="tx1"/>
            </w14:solidFill>
          </w14:textFill>
        </w:rPr>
        <w:t>试剂</w:t>
      </w:r>
      <w:r>
        <w:rPr>
          <w:rFonts w:hint="eastAsia" w:ascii="Times New Roman" w:eastAsia="宋体"/>
          <w:color w:val="000000" w:themeColor="text1"/>
          <w:szCs w:val="22"/>
          <w14:textFill>
            <w14:solidFill>
              <w14:schemeClr w14:val="tx1"/>
            </w14:solidFill>
          </w14:textFill>
        </w:rPr>
        <w:t>应符合以下规定</w:t>
      </w:r>
      <w:r>
        <w:rPr>
          <w:rFonts w:hint="eastAsia" w:ascii="Times New Roman" w:eastAsia="宋体"/>
          <w:color w:val="000000" w:themeColor="text1"/>
          <w:szCs w:val="22"/>
          <w:lang w:eastAsia="zh-CN"/>
          <w14:textFill>
            <w14:solidFill>
              <w14:schemeClr w14:val="tx1"/>
            </w14:solidFill>
          </w14:textFill>
        </w:rPr>
        <w:t>：</w:t>
      </w:r>
    </w:p>
    <w:p w14:paraId="6717381C">
      <w:pPr>
        <w:numPr>
          <w:ilvl w:val="0"/>
          <w:numId w:val="10"/>
        </w:numPr>
        <w:autoSpaceDE/>
        <w:autoSpaceDN/>
        <w:ind w:firstLineChars="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0.1mol/L氢氧化钠标准溶液；</w:t>
      </w:r>
    </w:p>
    <w:p w14:paraId="00D07ED7">
      <w:pPr>
        <w:numPr>
          <w:ilvl w:val="0"/>
          <w:numId w:val="10"/>
        </w:numPr>
        <w:autoSpaceDE/>
        <w:autoSpaceDN/>
        <w:ind w:firstLineChars="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缓冲溶液，pH值分别为4、7、9；</w:t>
      </w:r>
    </w:p>
    <w:p w14:paraId="599EAA76">
      <w:pPr>
        <w:numPr>
          <w:ilvl w:val="0"/>
          <w:numId w:val="10"/>
        </w:numPr>
        <w:autoSpaceDE/>
        <w:autoSpaceDN/>
        <w:ind w:firstLineChars="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甘露糖醇，纯度＞98%</w:t>
      </w:r>
    </w:p>
    <w:p w14:paraId="36FE5F17">
      <w:pPr>
        <w:numPr>
          <w:ilvl w:val="0"/>
          <w:numId w:val="10"/>
        </w:numPr>
        <w:autoSpaceDE/>
        <w:autoSpaceDN/>
        <w:ind w:firstLineChars="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0.5mol/L盐酸</w:t>
      </w:r>
    </w:p>
    <w:p w14:paraId="6A53C9DE">
      <w:pPr>
        <w:pStyle w:val="70"/>
        <w:tabs>
          <w:tab w:val="left" w:pos="585"/>
          <w:tab w:val="left" w:pos="720"/>
        </w:tabs>
        <w:spacing w:before="156" w:after="156"/>
        <w:ind w:left="0"/>
        <w:rPr>
          <w:rFonts w:hint="eastAsia"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6.</w:t>
      </w:r>
      <w:r>
        <w:rPr>
          <w:rFonts w:hint="eastAsia" w:ascii="Times New Roman"/>
          <w:color w:val="000000" w:themeColor="text1"/>
          <w14:textFill>
            <w14:solidFill>
              <w14:schemeClr w14:val="tx1"/>
            </w14:solidFill>
          </w14:textFill>
        </w:rPr>
        <w:t>2.4.</w:t>
      </w:r>
      <w:r>
        <w:rPr>
          <w:rFonts w:ascii="Times New Roman"/>
          <w:color w:val="000000" w:themeColor="text1"/>
          <w14:textFill>
            <w14:solidFill>
              <w14:schemeClr w14:val="tx1"/>
            </w14:solidFill>
          </w14:textFill>
        </w:rPr>
        <w:t>1.</w:t>
      </w:r>
      <w:r>
        <w:rPr>
          <w:rFonts w:hint="eastAsia" w:ascii="Times New Roman"/>
          <w:color w:val="000000" w:themeColor="text1"/>
          <w14:textFill>
            <w14:solidFill>
              <w14:schemeClr w14:val="tx1"/>
            </w14:solidFill>
          </w14:textFill>
        </w:rPr>
        <w:t>2</w:t>
      </w:r>
      <w:r>
        <w:rPr>
          <w:rFonts w:ascii="Times New Roman"/>
          <w:color w:val="000000" w:themeColor="text1"/>
          <w14:textFill>
            <w14:solidFill>
              <w14:schemeClr w14:val="tx1"/>
            </w14:solidFill>
          </w14:textFill>
        </w:rPr>
        <w:t xml:space="preserve"> </w:t>
      </w:r>
      <w:r>
        <w:rPr>
          <w:rFonts w:hint="eastAsia" w:ascii="Times New Roman"/>
          <w:color w:val="000000" w:themeColor="text1"/>
          <w14:textFill>
            <w14:solidFill>
              <w14:schemeClr w14:val="tx1"/>
            </w14:solidFill>
          </w14:textFill>
        </w:rPr>
        <w:t>仪器</w:t>
      </w:r>
    </w:p>
    <w:p w14:paraId="5792BBB6">
      <w:pPr>
        <w:pStyle w:val="70"/>
        <w:tabs>
          <w:tab w:val="left" w:pos="585"/>
          <w:tab w:val="left" w:pos="720"/>
        </w:tabs>
        <w:spacing w:before="156" w:after="156"/>
        <w:ind w:left="0" w:firstLine="420" w:firstLineChars="200"/>
        <w:rPr>
          <w:rFonts w:hint="eastAsia" w:ascii="Times New Roman" w:eastAsia="宋体"/>
          <w:color w:val="000000" w:themeColor="text1"/>
          <w:szCs w:val="22"/>
          <w:lang w:eastAsia="zh-CN"/>
          <w14:textFill>
            <w14:solidFill>
              <w14:schemeClr w14:val="tx1"/>
            </w14:solidFill>
          </w14:textFill>
        </w:rPr>
      </w:pPr>
      <w:r>
        <w:rPr>
          <w:rFonts w:hint="eastAsia" w:ascii="Times New Roman" w:eastAsia="宋体"/>
          <w:color w:val="000000" w:themeColor="text1"/>
          <w:szCs w:val="22"/>
          <w:lang w:val="en-US" w:eastAsia="zh-CN"/>
          <w14:textFill>
            <w14:solidFill>
              <w14:schemeClr w14:val="tx1"/>
            </w14:solidFill>
          </w14:textFill>
        </w:rPr>
        <w:t>仪器</w:t>
      </w:r>
      <w:r>
        <w:rPr>
          <w:rFonts w:hint="eastAsia" w:ascii="Times New Roman" w:eastAsia="宋体"/>
          <w:color w:val="000000" w:themeColor="text1"/>
          <w:szCs w:val="22"/>
          <w14:textFill>
            <w14:solidFill>
              <w14:schemeClr w14:val="tx1"/>
            </w14:solidFill>
          </w14:textFill>
        </w:rPr>
        <w:t>应符合以下要规定</w:t>
      </w:r>
      <w:r>
        <w:rPr>
          <w:rFonts w:hint="eastAsia" w:ascii="Times New Roman" w:eastAsia="宋体"/>
          <w:color w:val="000000" w:themeColor="text1"/>
          <w:szCs w:val="22"/>
          <w:lang w:eastAsia="zh-CN"/>
          <w14:textFill>
            <w14:solidFill>
              <w14:schemeClr w14:val="tx1"/>
            </w14:solidFill>
          </w14:textFill>
        </w:rPr>
        <w:t>：</w:t>
      </w:r>
    </w:p>
    <w:p w14:paraId="33382476">
      <w:pPr>
        <w:numPr>
          <w:ilvl w:val="0"/>
          <w:numId w:val="11"/>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自动电位滴定仪系统：包括复合玻璃电极、磁力搅拌器、滴定装置；</w:t>
      </w:r>
    </w:p>
    <w:p w14:paraId="0BDB9990">
      <w:pPr>
        <w:numPr>
          <w:ilvl w:val="0"/>
          <w:numId w:val="11"/>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分析天平，灵敏度为0.0001g；</w:t>
      </w:r>
    </w:p>
    <w:p w14:paraId="029EE2DD">
      <w:pPr>
        <w:numPr>
          <w:ilvl w:val="0"/>
          <w:numId w:val="11"/>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滴定容器，100mL烧杯。</w:t>
      </w:r>
    </w:p>
    <w:p w14:paraId="2471D895">
      <w:pPr>
        <w:pStyle w:val="69"/>
        <w:numPr>
          <w:ilvl w:val="2"/>
          <w:numId w:val="0"/>
        </w:numPr>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6.</w:t>
      </w:r>
      <w:r>
        <w:rPr>
          <w:rFonts w:hint="eastAsia" w:ascii="Times New Roman"/>
          <w:color w:val="000000" w:themeColor="text1"/>
          <w14:textFill>
            <w14:solidFill>
              <w14:schemeClr w14:val="tx1"/>
            </w14:solidFill>
          </w14:textFill>
        </w:rPr>
        <w:t>2.4.</w:t>
      </w:r>
      <w:r>
        <w:rPr>
          <w:rFonts w:ascii="Times New Roman"/>
          <w:color w:val="000000" w:themeColor="text1"/>
          <w14:textFill>
            <w14:solidFill>
              <w14:schemeClr w14:val="tx1"/>
            </w14:solidFill>
          </w14:textFill>
        </w:rPr>
        <w:t>1.</w:t>
      </w:r>
      <w:r>
        <w:rPr>
          <w:rFonts w:hint="eastAsia" w:ascii="Times New Roman"/>
          <w:color w:val="000000" w:themeColor="text1"/>
          <w14:textFill>
            <w14:solidFill>
              <w14:schemeClr w14:val="tx1"/>
            </w14:solidFill>
          </w14:textFill>
        </w:rPr>
        <w:t xml:space="preserve">3 </w:t>
      </w:r>
      <w:r>
        <w:rPr>
          <w:rFonts w:hint="eastAsia" w:ascii="Times New Roman"/>
          <w:color w:val="000000" w:themeColor="text1"/>
          <w:lang w:val="en-US" w:eastAsia="zh-CN"/>
          <w14:textFill>
            <w14:solidFill>
              <w14:schemeClr w14:val="tx1"/>
            </w14:solidFill>
          </w14:textFill>
        </w:rPr>
        <w:t>试样</w:t>
      </w:r>
      <w:r>
        <w:rPr>
          <w:rFonts w:hint="eastAsia" w:ascii="Times New Roman"/>
          <w:color w:val="000000" w:themeColor="text1"/>
          <w14:textFill>
            <w14:solidFill>
              <w14:schemeClr w14:val="tx1"/>
            </w14:solidFill>
          </w14:textFill>
        </w:rPr>
        <w:t>制备</w:t>
      </w:r>
    </w:p>
    <w:p w14:paraId="3E8E8A9F">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称取1.0g</w:t>
      </w:r>
      <w:r>
        <w:rPr>
          <w:rFonts w:hint="eastAsia" w:ascii="Times New Roman" w:hAnsi="Times New Roman" w:eastAsia="微软雅黑"/>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l.1g样品置于烧杯中，精确至0.0001g。用水冲洗烧杯壁，并稀释至</w:t>
      </w:r>
      <w:r>
        <w:rPr>
          <w:rFonts w:hint="eastAsia" w:ascii="Times New Roman" w:hAnsi="Times New Roman"/>
          <w:color w:val="000000" w:themeColor="text1"/>
          <w:lang w:val="en-US" w:eastAsia="zh-CN"/>
          <w14:textFill>
            <w14:solidFill>
              <w14:schemeClr w14:val="tx1"/>
            </w14:solidFill>
          </w14:textFill>
        </w:rPr>
        <w:t>总体积约</w:t>
      </w:r>
      <w:r>
        <w:rPr>
          <w:rFonts w:hint="eastAsia" w:ascii="Times New Roman" w:hAnsi="Times New Roman"/>
          <w:color w:val="000000" w:themeColor="text1"/>
          <w14:textFill>
            <w14:solidFill>
              <w14:schemeClr w14:val="tx1"/>
            </w14:solidFill>
          </w14:textFill>
        </w:rPr>
        <w:t>40mL，</w:t>
      </w:r>
      <w:r>
        <w:rPr>
          <w:rFonts w:hint="eastAsia" w:ascii="Times New Roman" w:hAnsi="Times New Roman"/>
          <w:color w:val="000000" w:themeColor="text1"/>
          <w:lang w:val="en-US" w:eastAsia="zh-CN"/>
          <w14:textFill>
            <w14:solidFill>
              <w14:schemeClr w14:val="tx1"/>
            </w14:solidFill>
          </w14:textFill>
        </w:rPr>
        <w:t>搅拌使溶液混合均匀，</w:t>
      </w:r>
      <w:bookmarkStart w:id="10" w:name="_GoBack"/>
      <w:r>
        <w:rPr>
          <w:rFonts w:hint="eastAsia" w:ascii="Times New Roman" w:hAnsi="Times New Roman"/>
          <w:color w:val="000000" w:themeColor="text1"/>
          <w:highlight w:val="none"/>
          <w14:textFill>
            <w14:solidFill>
              <w14:schemeClr w14:val="tx1"/>
            </w14:solidFill>
          </w14:textFill>
        </w:rPr>
        <w:t xml:space="preserve"> pH电极</w:t>
      </w:r>
      <w:r>
        <w:rPr>
          <w:rFonts w:hint="eastAsia" w:ascii="Times New Roman" w:hAnsi="Times New Roman"/>
          <w:color w:val="000000" w:themeColor="text1"/>
          <w:highlight w:val="none"/>
          <w:lang w:val="en-US" w:eastAsia="zh-CN"/>
          <w14:textFill>
            <w14:solidFill>
              <w14:schemeClr w14:val="tx1"/>
            </w14:solidFill>
          </w14:textFill>
        </w:rPr>
        <w:t>应</w:t>
      </w:r>
      <w:r>
        <w:rPr>
          <w:rFonts w:hint="eastAsia" w:ascii="Times New Roman" w:hAnsi="Times New Roman"/>
          <w:color w:val="000000" w:themeColor="text1"/>
          <w:highlight w:val="none"/>
          <w14:textFill>
            <w14:solidFill>
              <w14:schemeClr w14:val="tx1"/>
            </w14:solidFill>
          </w14:textFill>
        </w:rPr>
        <w:t>浸入液面以下</w:t>
      </w:r>
      <w:bookmarkEnd w:id="10"/>
      <w:r>
        <w:rPr>
          <w:rFonts w:hint="eastAsia" w:ascii="Times New Roman" w:hAnsi="Times New Roman"/>
          <w:color w:val="000000" w:themeColor="text1"/>
          <w14:textFill>
            <w14:solidFill>
              <w14:schemeClr w14:val="tx1"/>
            </w14:solidFill>
          </w14:textFill>
        </w:rPr>
        <w:t>。加入2.</w:t>
      </w:r>
      <w:r>
        <w:rPr>
          <w:rFonts w:ascii="Times New Roman" w:hAnsi="Times New Roman"/>
          <w:color w:val="000000" w:themeColor="text1"/>
          <w14:textFill>
            <w14:solidFill>
              <w14:schemeClr w14:val="tx1"/>
            </w14:solidFill>
          </w14:textFill>
        </w:rPr>
        <w:t>0</w:t>
      </w:r>
      <w:r>
        <w:rPr>
          <w:rFonts w:hint="eastAsia" w:ascii="Times New Roman" w:hAnsi="Times New Roman"/>
          <w:color w:val="000000" w:themeColor="text1"/>
          <w14:textFill>
            <w14:solidFill>
              <w14:schemeClr w14:val="tx1"/>
            </w14:solidFill>
          </w14:textFill>
        </w:rPr>
        <w:t>mL浓度为0.5 mol/ L的盐酸，搅拌60s。</w:t>
      </w:r>
    </w:p>
    <w:p w14:paraId="7D68D2F8">
      <w:pPr>
        <w:pStyle w:val="69"/>
        <w:numPr>
          <w:ilvl w:val="2"/>
          <w:numId w:val="0"/>
        </w:numPr>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6.</w:t>
      </w:r>
      <w:r>
        <w:rPr>
          <w:rFonts w:hint="eastAsia" w:ascii="Times New Roman"/>
          <w:color w:val="000000" w:themeColor="text1"/>
          <w14:textFill>
            <w14:solidFill>
              <w14:schemeClr w14:val="tx1"/>
            </w14:solidFill>
          </w14:textFill>
        </w:rPr>
        <w:t>2.4.</w:t>
      </w:r>
      <w:r>
        <w:rPr>
          <w:rFonts w:ascii="Times New Roman"/>
          <w:color w:val="000000" w:themeColor="text1"/>
          <w14:textFill>
            <w14:solidFill>
              <w14:schemeClr w14:val="tx1"/>
            </w14:solidFill>
          </w14:textFill>
        </w:rPr>
        <w:t>1.</w:t>
      </w:r>
      <w:r>
        <w:rPr>
          <w:rFonts w:hint="eastAsia" w:ascii="Times New Roman"/>
          <w:color w:val="000000" w:themeColor="text1"/>
          <w14:textFill>
            <w14:solidFill>
              <w14:schemeClr w14:val="tx1"/>
            </w14:solidFill>
          </w14:textFill>
        </w:rPr>
        <w:t>4</w:t>
      </w:r>
      <w:r>
        <w:rPr>
          <w:rFonts w:ascii="Times New Roman"/>
          <w:color w:val="000000" w:themeColor="text1"/>
          <w14:textFill>
            <w14:solidFill>
              <w14:schemeClr w14:val="tx1"/>
            </w14:solidFill>
          </w14:textFill>
        </w:rPr>
        <w:t xml:space="preserve"> </w:t>
      </w:r>
      <w:r>
        <w:rPr>
          <w:rFonts w:hint="eastAsia" w:ascii="Times New Roman"/>
          <w:color w:val="000000" w:themeColor="text1"/>
          <w14:textFill>
            <w14:solidFill>
              <w14:schemeClr w14:val="tx1"/>
            </w14:solidFill>
          </w14:textFill>
        </w:rPr>
        <w:t>操作步骤</w:t>
      </w:r>
    </w:p>
    <w:p w14:paraId="397272CC">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试样制备好后，立即用0.1mol/L氢氧化钠标准溶液来滴定到第一等量点（pKa～2.1）以中和过量的盐酸，记录到达第一等量点时所用0.1mol/L氢氧化钠标准溶液的体积，以</w:t>
      </w:r>
      <w:r>
        <w:rPr>
          <w:rFonts w:hint="eastAsia" w:ascii="Times New Roman" w:hAnsi="Times New Roman"/>
          <w:i/>
          <w:iCs/>
          <w:color w:val="000000" w:themeColor="text1"/>
          <w14:textFill>
            <w14:solidFill>
              <w14:schemeClr w14:val="tx1"/>
            </w14:solidFill>
          </w14:textFill>
        </w:rPr>
        <w:t>V</w:t>
      </w:r>
      <w:r>
        <w:rPr>
          <w:rFonts w:hint="eastAsia" w:ascii="Times New Roman" w:hAnsi="Times New Roman"/>
          <w:i/>
          <w:iCs/>
          <w:color w:val="000000" w:themeColor="text1"/>
          <w:vertAlign w:val="subscript"/>
          <w14:textFill>
            <w14:solidFill>
              <w14:schemeClr w14:val="tx1"/>
            </w14:solidFill>
          </w14:textFill>
        </w:rPr>
        <w:t>1</w:t>
      </w:r>
      <w:r>
        <w:rPr>
          <w:rFonts w:hint="eastAsia" w:ascii="Times New Roman" w:hAnsi="Times New Roman"/>
          <w:color w:val="000000" w:themeColor="text1"/>
          <w14:textFill>
            <w14:solidFill>
              <w14:schemeClr w14:val="tx1"/>
            </w14:solidFill>
          </w14:textFill>
        </w:rPr>
        <w:t>表示。</w:t>
      </w:r>
    </w:p>
    <w:p w14:paraId="76AADBF1">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向烧杯中加入约6g甘露糖醇，并搅拌60s，使其形成硼酸甘露糖醇酯。继续用0.1mol/L 氢氧化钠标准溶液滴定至第二等量点（pKa～5.4）。记录下从开始滴定起到第二等量点止所用去0.1mol/L 氢氧化钠标准溶液的总体积，以</w:t>
      </w:r>
      <w:r>
        <w:rPr>
          <w:rFonts w:hint="eastAsia" w:ascii="Times New Roman" w:hAnsi="Times New Roman"/>
          <w:i/>
          <w:iCs/>
          <w:color w:val="000000" w:themeColor="text1"/>
          <w14:textFill>
            <w14:solidFill>
              <w14:schemeClr w14:val="tx1"/>
            </w14:solidFill>
          </w14:textFill>
        </w:rPr>
        <w:t>V</w:t>
      </w:r>
      <w:r>
        <w:rPr>
          <w:rFonts w:hint="eastAsia" w:ascii="Times New Roman" w:hAnsi="Times New Roman"/>
          <w:i/>
          <w:iCs/>
          <w:color w:val="000000" w:themeColor="text1"/>
          <w:vertAlign w:val="subscript"/>
          <w14:textFill>
            <w14:solidFill>
              <w14:schemeClr w14:val="tx1"/>
            </w14:solidFill>
          </w14:textFill>
        </w:rPr>
        <w:t>2</w:t>
      </w:r>
      <w:r>
        <w:rPr>
          <w:rFonts w:hint="eastAsia" w:ascii="Times New Roman" w:hAnsi="Times New Roman"/>
          <w:color w:val="000000" w:themeColor="text1"/>
          <w14:textFill>
            <w14:solidFill>
              <w14:schemeClr w14:val="tx1"/>
            </w14:solidFill>
          </w14:textFill>
        </w:rPr>
        <w:t>表示。</w:t>
      </w:r>
    </w:p>
    <w:p w14:paraId="13C4929B">
      <w:pPr>
        <w:pStyle w:val="69"/>
        <w:numPr>
          <w:ilvl w:val="2"/>
          <w:numId w:val="0"/>
        </w:numPr>
        <w:spacing w:before="156" w:after="156"/>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6.2.4.1.5 计算</w:t>
      </w:r>
    </w:p>
    <w:p w14:paraId="77390711">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硼酸含量按公式（7）计算，</w:t>
      </w:r>
      <w:r>
        <w:rPr>
          <w:rFonts w:ascii="Times New Roman" w:hAnsi="Times New Roman"/>
          <w:color w:val="000000" w:themeColor="text1"/>
          <w14:textFill>
            <w14:solidFill>
              <w14:schemeClr w14:val="tx1"/>
            </w14:solidFill>
          </w14:textFill>
        </w:rPr>
        <w:t>结果保留三位有效数字。</w:t>
      </w:r>
    </w:p>
    <w:p w14:paraId="61D1114F">
      <w:pPr>
        <w:autoSpaceDE/>
        <w:autoSpaceDN/>
        <w:ind w:firstLine="3570" w:firstLineChars="1700"/>
        <w:rPr>
          <w:rFonts w:ascii="Times New Roman" w:hAnsi="Times New Roman"/>
          <w:color w:val="000000" w:themeColor="text1"/>
          <w14:textFill>
            <w14:solidFill>
              <w14:schemeClr w14:val="tx1"/>
            </w14:solidFill>
          </w14:textFill>
        </w:rPr>
      </w:pPr>
      <m:oMath>
        <m:sSub>
          <m:sSubPr>
            <m:ctrlPr>
              <w:rPr>
                <w:rFonts w:ascii="Cambria Math" w:hAnsi="Cambria Math"/>
                <w:i/>
                <w:color w:val="000000" w:themeColor="text1"/>
                <w14:textFill>
                  <w14:solidFill>
                    <w14:schemeClr w14:val="tx1"/>
                  </w14:solidFill>
                </w14:textFill>
              </w:rPr>
            </m:ctrlPr>
          </m:sSubPr>
          <m:e>
            <m:r>
              <m:rPr/>
              <w:rPr>
                <w:rFonts w:ascii="Times New Roman" w:hAnsi="Times New Roman"/>
                <w:color w:val="000000" w:themeColor="text1"/>
                <w14:textFill>
                  <w14:solidFill>
                    <w14:schemeClr w14:val="tx1"/>
                  </w14:solidFill>
                </w14:textFill>
              </w:rPr>
              <m:t>w</m:t>
            </m:r>
            <m:ctrlPr>
              <w:rPr>
                <w:rFonts w:ascii="Cambria Math" w:hAnsi="Cambria Math"/>
                <w:i/>
                <w:color w:val="000000" w:themeColor="text1"/>
                <w14:textFill>
                  <w14:solidFill>
                    <w14:schemeClr w14:val="tx1"/>
                  </w14:solidFill>
                </w14:textFill>
              </w:rPr>
            </m:ctrlPr>
          </m:e>
          <m:sub>
            <m:r>
              <m:rPr/>
              <w:rPr>
                <w:rFonts w:ascii="Times New Roman" w:hAnsi="Times New Roman"/>
                <w:color w:val="000000" w:themeColor="text1"/>
                <w14:textFill>
                  <w14:solidFill>
                    <w14:schemeClr w14:val="tx1"/>
                  </w14:solidFill>
                </w14:textFill>
              </w:rPr>
              <m:t>2</m:t>
            </m:r>
            <m:ctrlPr>
              <w:rPr>
                <w:rFonts w:ascii="Cambria Math" w:hAnsi="Cambria Math"/>
                <w:i/>
                <w:color w:val="000000" w:themeColor="text1"/>
                <w14:textFill>
                  <w14:solidFill>
                    <w14:schemeClr w14:val="tx1"/>
                  </w14:solidFill>
                </w14:textFill>
              </w:rPr>
            </m:ctrlPr>
          </m:sub>
        </m:sSub>
        <m:r>
          <m:rPr/>
          <w:rPr>
            <w:rFonts w:ascii="Times New Roman" w:hAnsi="Times New Roman"/>
            <w:color w:val="000000" w:themeColor="text1"/>
            <w14:textFill>
              <w14:solidFill>
                <w14:schemeClr w14:val="tx1"/>
              </w14:solidFill>
            </w14:textFill>
          </w:rPr>
          <m:t>=</m:t>
        </m:r>
        <m:f>
          <m:fPr>
            <m:ctrlPr>
              <w:rPr>
                <w:rFonts w:ascii="Cambria Math" w:hAnsi="Cambria Math"/>
                <w:i/>
                <w:color w:val="000000" w:themeColor="text1"/>
                <w14:textFill>
                  <w14:solidFill>
                    <w14:schemeClr w14:val="tx1"/>
                  </w14:solidFill>
                </w14:textFill>
              </w:rPr>
            </m:ctrlPr>
          </m:fPr>
          <m:num>
            <m:r>
              <m:rPr/>
              <w:rPr>
                <w:rFonts w:ascii="Times New Roman" w:hAnsi="Times New Roman"/>
                <w:color w:val="000000" w:themeColor="text1"/>
                <w14:textFill>
                  <w14:solidFill>
                    <w14:schemeClr w14:val="tx1"/>
                  </w14:solidFill>
                </w14:textFill>
              </w:rPr>
              <m:t>（</m:t>
            </m:r>
            <m:sSub>
              <m:sSubPr>
                <m:ctrlPr>
                  <w:rPr>
                    <w:rFonts w:ascii="Cambria Math" w:hAnsi="Cambria Math"/>
                    <w:i/>
                    <w:color w:val="000000" w:themeColor="text1"/>
                    <w14:textFill>
                      <w14:solidFill>
                        <w14:schemeClr w14:val="tx1"/>
                      </w14:solidFill>
                    </w14:textFill>
                  </w:rPr>
                </m:ctrlPr>
              </m:sSubPr>
              <m:e>
                <m:r>
                  <m:rPr/>
                  <w:rPr>
                    <w:rFonts w:ascii="Times New Roman" w:hAnsi="Times New Roman"/>
                    <w:color w:val="000000" w:themeColor="text1"/>
                    <w14:textFill>
                      <w14:solidFill>
                        <w14:schemeClr w14:val="tx1"/>
                      </w14:solidFill>
                    </w14:textFill>
                  </w:rPr>
                  <m:t>V</m:t>
                </m:r>
                <m:ctrlPr>
                  <w:rPr>
                    <w:rFonts w:ascii="Cambria Math" w:hAnsi="Cambria Math"/>
                    <w:i/>
                    <w:color w:val="000000" w:themeColor="text1"/>
                    <w14:textFill>
                      <w14:solidFill>
                        <w14:schemeClr w14:val="tx1"/>
                      </w14:solidFill>
                    </w14:textFill>
                  </w:rPr>
                </m:ctrlPr>
              </m:e>
              <m:sub>
                <m:r>
                  <m:rPr/>
                  <w:rPr>
                    <w:rFonts w:ascii="Times New Roman" w:hAnsi="Times New Roman"/>
                    <w:color w:val="000000" w:themeColor="text1"/>
                    <w14:textFill>
                      <w14:solidFill>
                        <w14:schemeClr w14:val="tx1"/>
                      </w14:solidFill>
                    </w14:textFill>
                  </w:rPr>
                  <m:t>2</m:t>
                </m:r>
                <m:ctrlPr>
                  <w:rPr>
                    <w:rFonts w:ascii="Cambria Math" w:hAnsi="Cambria Math"/>
                    <w:i/>
                    <w:color w:val="000000" w:themeColor="text1"/>
                    <w14:textFill>
                      <w14:solidFill>
                        <w14:schemeClr w14:val="tx1"/>
                      </w14:solidFill>
                    </w14:textFill>
                  </w:rPr>
                </m:ctrlPr>
              </m:sub>
            </m:sSub>
            <m:r>
              <m:rPr/>
              <w:rPr>
                <w:rFonts w:ascii="Times New Roman" w:hAnsi="Times New Roman"/>
                <w:color w:val="000000" w:themeColor="text1"/>
                <w14:textFill>
                  <w14:solidFill>
                    <w14:schemeClr w14:val="tx1"/>
                  </w14:solidFill>
                </w14:textFill>
              </w:rPr>
              <m:t>−</m:t>
            </m:r>
            <m:sSub>
              <m:sSubPr>
                <m:ctrlPr>
                  <w:rPr>
                    <w:rFonts w:ascii="Cambria Math" w:hAnsi="Cambria Math"/>
                    <w:i/>
                    <w:color w:val="000000" w:themeColor="text1"/>
                    <w14:textFill>
                      <w14:solidFill>
                        <w14:schemeClr w14:val="tx1"/>
                      </w14:solidFill>
                    </w14:textFill>
                  </w:rPr>
                </m:ctrlPr>
              </m:sSubPr>
              <m:e>
                <m:r>
                  <m:rPr/>
                  <w:rPr>
                    <w:rFonts w:ascii="Times New Roman" w:hAnsi="Times New Roman"/>
                    <w:color w:val="000000" w:themeColor="text1"/>
                    <w14:textFill>
                      <w14:solidFill>
                        <w14:schemeClr w14:val="tx1"/>
                      </w14:solidFill>
                    </w14:textFill>
                  </w:rPr>
                  <m:t>V</m:t>
                </m:r>
                <m:ctrlPr>
                  <w:rPr>
                    <w:rFonts w:ascii="Cambria Math" w:hAnsi="Cambria Math"/>
                    <w:i/>
                    <w:color w:val="000000" w:themeColor="text1"/>
                    <w14:textFill>
                      <w14:solidFill>
                        <w14:schemeClr w14:val="tx1"/>
                      </w14:solidFill>
                    </w14:textFill>
                  </w:rPr>
                </m:ctrlPr>
              </m:e>
              <m:sub>
                <m:r>
                  <m:rPr/>
                  <w:rPr>
                    <w:rFonts w:ascii="Times New Roman" w:hAnsi="Times New Roman"/>
                    <w:color w:val="000000" w:themeColor="text1"/>
                    <w14:textFill>
                      <w14:solidFill>
                        <w14:schemeClr w14:val="tx1"/>
                      </w14:solidFill>
                    </w14:textFill>
                  </w:rPr>
                  <m:t>1</m:t>
                </m:r>
                <m:ctrlPr>
                  <w:rPr>
                    <w:rFonts w:ascii="Cambria Math" w:hAnsi="Cambria Math"/>
                    <w:i/>
                    <w:color w:val="000000" w:themeColor="text1"/>
                    <w14:textFill>
                      <w14:solidFill>
                        <w14:schemeClr w14:val="tx1"/>
                      </w14:solidFill>
                    </w14:textFill>
                  </w:rPr>
                </m:ctrlPr>
              </m:sub>
            </m:sSub>
            <m:r>
              <m:rPr/>
              <w:rPr>
                <w:rFonts w:ascii="Times New Roman" w:hAnsi="Times New Roman"/>
                <w:color w:val="000000" w:themeColor="text1"/>
                <w14:textFill>
                  <w14:solidFill>
                    <w14:schemeClr w14:val="tx1"/>
                  </w14:solidFill>
                </w14:textFill>
              </w:rPr>
              <m:t>）×</m:t>
            </m:r>
            <m:sSub>
              <m:sSubPr>
                <m:ctrlPr>
                  <w:rPr>
                    <w:rFonts w:ascii="Cambria Math" w:hAnsi="Cambria Math"/>
                    <w:i/>
                    <w:color w:val="000000" w:themeColor="text1"/>
                    <w14:textFill>
                      <w14:solidFill>
                        <w14:schemeClr w14:val="tx1"/>
                      </w14:solidFill>
                    </w14:textFill>
                  </w:rPr>
                </m:ctrlPr>
              </m:sSubPr>
              <m:e>
                <m:r>
                  <m:rPr/>
                  <w:rPr>
                    <w:rFonts w:ascii="Times New Roman" w:hAnsi="Times New Roman"/>
                    <w:color w:val="000000" w:themeColor="text1"/>
                    <w14:textFill>
                      <w14:solidFill>
                        <w14:schemeClr w14:val="tx1"/>
                      </w14:solidFill>
                    </w14:textFill>
                  </w:rPr>
                  <m:t>c</m:t>
                </m:r>
                <m:ctrlPr>
                  <w:rPr>
                    <w:rFonts w:ascii="Cambria Math" w:hAnsi="Cambria Math"/>
                    <w:i/>
                    <w:color w:val="000000" w:themeColor="text1"/>
                    <w14:textFill>
                      <w14:solidFill>
                        <w14:schemeClr w14:val="tx1"/>
                      </w14:solidFill>
                    </w14:textFill>
                  </w:rPr>
                </m:ctrlPr>
              </m:e>
              <m:sub>
                <m:r>
                  <m:rPr/>
                  <w:rPr>
                    <w:rFonts w:ascii="Times New Roman" w:hAnsi="Times New Roman"/>
                    <w:color w:val="000000" w:themeColor="text1"/>
                    <w14:textFill>
                      <w14:solidFill>
                        <w14:schemeClr w14:val="tx1"/>
                      </w14:solidFill>
                    </w14:textFill>
                  </w:rPr>
                  <m:t>1</m:t>
                </m:r>
                <m:ctrlPr>
                  <w:rPr>
                    <w:rFonts w:ascii="Cambria Math" w:hAnsi="Cambria Math"/>
                    <w:i/>
                    <w:color w:val="000000" w:themeColor="text1"/>
                    <w14:textFill>
                      <w14:solidFill>
                        <w14:schemeClr w14:val="tx1"/>
                      </w14:solidFill>
                    </w14:textFill>
                  </w:rPr>
                </m:ctrlPr>
              </m:sub>
            </m:sSub>
            <m:r>
              <m:rPr/>
              <w:rPr>
                <w:rFonts w:ascii="Times New Roman" w:hAnsi="Times New Roman"/>
                <w:color w:val="000000" w:themeColor="text1"/>
                <w14:textFill>
                  <w14:solidFill>
                    <w14:schemeClr w14:val="tx1"/>
                  </w14:solidFill>
                </w14:textFill>
              </w:rPr>
              <m:t>×6.183</m:t>
            </m:r>
            <m:ctrlPr>
              <w:rPr>
                <w:rFonts w:ascii="Cambria Math" w:hAnsi="Cambria Math"/>
                <w:i/>
                <w:color w:val="000000" w:themeColor="text1"/>
                <w14:textFill>
                  <w14:solidFill>
                    <w14:schemeClr w14:val="tx1"/>
                  </w14:solidFill>
                </w14:textFill>
              </w:rPr>
            </m:ctrlPr>
          </m:num>
          <m:den>
            <m:r>
              <m:rPr/>
              <w:rPr>
                <w:rFonts w:ascii="Times New Roman" w:hAnsi="Times New Roman"/>
                <w:color w:val="000000" w:themeColor="text1"/>
                <w14:textFill>
                  <w14:solidFill>
                    <w14:schemeClr w14:val="tx1"/>
                  </w14:solidFill>
                </w14:textFill>
              </w:rPr>
              <m:t>m4</m:t>
            </m:r>
            <m:ctrlPr>
              <w:rPr>
                <w:rFonts w:ascii="Cambria Math" w:hAnsi="Cambria Math"/>
                <w:i/>
                <w:color w:val="000000" w:themeColor="text1"/>
                <w14:textFill>
                  <w14:solidFill>
                    <w14:schemeClr w14:val="tx1"/>
                  </w14:solidFill>
                </w14:textFill>
              </w:rPr>
            </m:ctrlPr>
          </m:den>
        </m:f>
      </m:oMath>
      <w:r>
        <w:rPr>
          <w:rFonts w:hint="eastAsia" w:ascii="Times New Roman" w:hAnsi="Times New Roman"/>
          <w:color w:val="000000" w:themeColor="text1"/>
          <w14:textFill>
            <w14:solidFill>
              <w14:schemeClr w14:val="tx1"/>
            </w14:solidFill>
          </w14:textFill>
        </w:rPr>
        <w:t xml:space="preserve">    ……………………（7）</w:t>
      </w:r>
    </w:p>
    <w:p w14:paraId="2C91E089">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式中：</w:t>
      </w:r>
    </w:p>
    <w:p w14:paraId="735FC3A1">
      <w:pPr>
        <w:autoSpaceDE/>
        <w:autoSpaceDN/>
        <w:ind w:left="1050" w:leftChars="500" w:firstLine="0" w:firstLineChars="0"/>
        <w:rPr>
          <w:rFonts w:ascii="Times New Roman" w:hAnsi="Times New Roman"/>
          <w:color w:val="000000" w:themeColor="text1"/>
          <w14:textFill>
            <w14:solidFill>
              <w14:schemeClr w14:val="tx1"/>
            </w14:solidFill>
          </w14:textFill>
        </w:rPr>
      </w:pPr>
      <m:oMath>
        <m:sSub>
          <m:sSubPr>
            <m:ctrlPr>
              <w:rPr>
                <w:rFonts w:ascii="Cambria Math" w:hAnsi="Cambria Math"/>
                <w:i/>
                <w:color w:val="000000" w:themeColor="text1"/>
                <w14:textFill>
                  <w14:solidFill>
                    <w14:schemeClr w14:val="tx1"/>
                  </w14:solidFill>
                </w14:textFill>
              </w:rPr>
            </m:ctrlPr>
          </m:sSubPr>
          <m:e>
            <m:r>
              <m:rPr/>
              <w:rPr>
                <w:rFonts w:ascii="Times New Roman" w:hAnsi="Times New Roman"/>
                <w:color w:val="000000" w:themeColor="text1"/>
                <w14:textFill>
                  <w14:solidFill>
                    <w14:schemeClr w14:val="tx1"/>
                  </w14:solidFill>
                </w14:textFill>
              </w:rPr>
              <m:t>w</m:t>
            </m:r>
            <m:ctrlPr>
              <w:rPr>
                <w:rFonts w:ascii="Cambria Math" w:hAnsi="Cambria Math"/>
                <w:i/>
                <w:color w:val="000000" w:themeColor="text1"/>
                <w14:textFill>
                  <w14:solidFill>
                    <w14:schemeClr w14:val="tx1"/>
                  </w14:solidFill>
                </w14:textFill>
              </w:rPr>
            </m:ctrlPr>
          </m:e>
          <m:sub>
            <m:r>
              <m:rPr/>
              <w:rPr>
                <w:rFonts w:ascii="Times New Roman" w:hAnsi="Times New Roman"/>
                <w:color w:val="000000" w:themeColor="text1"/>
                <w14:textFill>
                  <w14:solidFill>
                    <w14:schemeClr w14:val="tx1"/>
                  </w14:solidFill>
                </w14:textFill>
              </w:rPr>
              <m:t>2</m:t>
            </m:r>
            <m:ctrlPr>
              <w:rPr>
                <w:rFonts w:ascii="Cambria Math" w:hAnsi="Cambria Math"/>
                <w:i/>
                <w:color w:val="000000" w:themeColor="text1"/>
                <w14:textFill>
                  <w14:solidFill>
                    <w14:schemeClr w14:val="tx1"/>
                  </w14:solidFill>
                </w14:textFill>
              </w:rPr>
            </m:ctrlPr>
          </m:sub>
        </m:sSub>
      </m:oMath>
      <w:r>
        <w:rPr>
          <w:rFonts w:hint="eastAsia" w:ascii="Times New Roman" w:hAnsi="Times New Roman"/>
          <w:color w:val="000000" w:themeColor="text1"/>
          <w14:textFill>
            <w14:solidFill>
              <w14:schemeClr w14:val="tx1"/>
            </w14:solidFill>
          </w14:textFill>
        </w:rPr>
        <w:t>——样品中硼酸的百分含量，%；</w:t>
      </w:r>
    </w:p>
    <w:p w14:paraId="3BE0EBDA">
      <w:pPr>
        <w:autoSpaceDE/>
        <w:autoSpaceDN/>
        <w:ind w:left="1050" w:leftChars="500" w:firstLine="0" w:firstLineChars="0"/>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V</w:t>
      </w:r>
      <w:r>
        <w:rPr>
          <w:rFonts w:hint="eastAsia" w:ascii="Times New Roman" w:hAnsi="Times New Roman"/>
          <w:i/>
          <w:iCs/>
          <w:color w:val="000000" w:themeColor="text1"/>
          <w:vertAlign w:val="subscript"/>
          <w14:textFill>
            <w14:solidFill>
              <w14:schemeClr w14:val="tx1"/>
            </w14:solidFill>
          </w14:textFill>
        </w:rPr>
        <w:t>1</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滴定至第一等量点时所用去氢氧化钠标准溶液的体积，单位为毫升（mL）；</w:t>
      </w:r>
    </w:p>
    <w:p w14:paraId="3EC4E77B">
      <w:pPr>
        <w:autoSpaceDE/>
        <w:autoSpaceDN/>
        <w:ind w:left="1050" w:leftChars="500" w:firstLine="0" w:firstLineChars="0"/>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V</w:t>
      </w:r>
      <w:r>
        <w:rPr>
          <w:rFonts w:hint="eastAsia" w:ascii="Times New Roman" w:hAnsi="Times New Roman"/>
          <w:i/>
          <w:iCs/>
          <w:color w:val="000000" w:themeColor="text1"/>
          <w:vertAlign w:val="subscript"/>
          <w14:textFill>
            <w14:solidFill>
              <w14:schemeClr w14:val="tx1"/>
            </w14:solidFill>
          </w14:textFill>
        </w:rPr>
        <w:t>2</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滴定至第二等量点时所用去氢氧化钠标准溶液的总体积，单位为毫升（mL）；</w:t>
      </w:r>
    </w:p>
    <w:p w14:paraId="22F138FF">
      <w:pPr>
        <w:autoSpaceDE/>
        <w:autoSpaceDN/>
        <w:ind w:left="1050" w:leftChars="500" w:firstLine="0" w:firstLineChars="0"/>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c</w:t>
      </w:r>
      <w:r>
        <w:rPr>
          <w:rFonts w:hint="eastAsia" w:ascii="Times New Roman" w:hAnsi="Times New Roman"/>
          <w:i/>
          <w:iCs/>
          <w:color w:val="000000" w:themeColor="text1"/>
          <w:vertAlign w:val="subscript"/>
          <w14:textFill>
            <w14:solidFill>
              <w14:schemeClr w14:val="tx1"/>
            </w14:solidFill>
          </w14:textFill>
        </w:rPr>
        <w:t>1</w:t>
      </w:r>
      <w:r>
        <w:rPr>
          <w:rFonts w:hint="eastAsia"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氢氧化钠标准溶液的摩尔浓度，单位为摩尔每升（mol/L）；</w:t>
      </w:r>
    </w:p>
    <w:p w14:paraId="1B2443EA">
      <w:pPr>
        <w:autoSpaceDE/>
        <w:autoSpaceDN/>
        <w:ind w:left="1050" w:leftChars="500" w:firstLine="0" w:firstLineChars="0"/>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m</w:t>
      </w:r>
      <w:r>
        <w:rPr>
          <w:rFonts w:ascii="Times New Roman" w:hAnsi="Times New Roman"/>
          <w:i/>
          <w:iCs/>
          <w:color w:val="000000" w:themeColor="text1"/>
          <w:vertAlign w:val="subscript"/>
          <w14:textFill>
            <w14:solidFill>
              <w14:schemeClr w14:val="tx1"/>
            </w14:solidFill>
          </w14:textFill>
        </w:rPr>
        <w:t>4</w:t>
      </w:r>
      <w:r>
        <w:rPr>
          <w:rFonts w:hint="eastAsia" w:ascii="Times New Roman" w:hAnsi="Times New Roman"/>
          <w:color w:val="000000" w:themeColor="text1"/>
          <w:vertAlign w:val="subscript"/>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样品的质量，单位为克（g）；</w:t>
      </w:r>
    </w:p>
    <w:p w14:paraId="594E211A">
      <w:pPr>
        <w:autoSpaceDE/>
        <w:autoSpaceDN/>
        <w:ind w:left="1050" w:leftChars="500" w:firstLine="0" w:firstLineChars="0"/>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6.183</w:t>
      </w:r>
      <w:r>
        <w:rPr>
          <w:rFonts w:ascii="Times New Roman" w:hAnsi="Times New Roman"/>
          <w:color w:val="000000" w:themeColor="text1"/>
          <w:highlight w:val="none"/>
          <w14:textFill>
            <w14:solidFill>
              <w14:schemeClr w14:val="tx1"/>
            </w14:solidFill>
          </w14:textFill>
        </w:rPr>
        <w:t>——</w:t>
      </w:r>
      <w:r>
        <w:rPr>
          <w:rFonts w:hint="eastAsia" w:ascii="Times New Roman" w:hAnsi="Times New Roman"/>
          <w:color w:val="000000" w:themeColor="text1"/>
          <w:highlight w:val="none"/>
          <w14:textFill>
            <w14:solidFill>
              <w14:schemeClr w14:val="tx1"/>
            </w14:solidFill>
          </w14:textFill>
        </w:rPr>
        <w:t>换算系数。</w:t>
      </w:r>
    </w:p>
    <w:p w14:paraId="2558CC05">
      <w:pPr>
        <w:pStyle w:val="53"/>
        <w:numPr>
          <w:ilvl w:val="0"/>
          <w:numId w:val="0"/>
        </w:numPr>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6.</w:t>
      </w:r>
      <w:r>
        <w:rPr>
          <w:rFonts w:hint="eastAsia" w:ascii="Times New Roman" w:hAnsi="Times New Roman"/>
          <w:color w:val="000000" w:themeColor="text1"/>
          <w:highlight w:val="none"/>
          <w14:textFill>
            <w14:solidFill>
              <w14:schemeClr w14:val="tx1"/>
            </w14:solidFill>
          </w14:textFill>
        </w:rPr>
        <w:t>2</w:t>
      </w:r>
      <w:r>
        <w:rPr>
          <w:rFonts w:ascii="Times New Roman" w:hAnsi="Times New Roman"/>
          <w:color w:val="000000" w:themeColor="text1"/>
          <w:highlight w:val="none"/>
          <w14:textFill>
            <w14:solidFill>
              <w14:schemeClr w14:val="tx1"/>
            </w14:solidFill>
          </w14:textFill>
        </w:rPr>
        <w:t>.</w:t>
      </w:r>
      <w:r>
        <w:rPr>
          <w:rFonts w:hint="eastAsia" w:ascii="Times New Roman" w:hAnsi="Times New Roman"/>
          <w:color w:val="000000" w:themeColor="text1"/>
          <w:highlight w:val="none"/>
          <w14:textFill>
            <w14:solidFill>
              <w14:schemeClr w14:val="tx1"/>
            </w14:solidFill>
          </w14:textFill>
        </w:rPr>
        <w:t>4.2 电感耦合等离子体发射光谱法</w:t>
      </w:r>
    </w:p>
    <w:p w14:paraId="5A97B308">
      <w:pPr>
        <w:pStyle w:val="65"/>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按</w:t>
      </w:r>
      <w:r>
        <w:rPr>
          <w:rFonts w:ascii="Times New Roman" w:hAnsi="Times New Roman" w:cs="Times New Roman"/>
          <w:color w:val="000000" w:themeColor="text1"/>
          <w14:textFill>
            <w14:solidFill>
              <w14:schemeClr w14:val="tx1"/>
            </w14:solidFill>
          </w14:textFill>
        </w:rPr>
        <w:t>GB/T 23229-20</w:t>
      </w:r>
      <w:r>
        <w:rPr>
          <w:rFonts w:hint="eastAsia" w:ascii="Times New Roman" w:hAnsi="Times New Roman" w:cs="Times New Roman"/>
          <w:color w:val="000000" w:themeColor="text1"/>
          <w14:textFill>
            <w14:solidFill>
              <w14:schemeClr w14:val="tx1"/>
            </w14:solidFill>
          </w14:textFill>
        </w:rPr>
        <w:t>23</w:t>
      </w:r>
      <w:r>
        <w:rPr>
          <w:rFonts w:hint="eastAsia" w:ascii="Times New Roman" w:hAnsi="Times New Roman" w:cs="Times New Roman"/>
          <w:color w:val="000000" w:themeColor="text1"/>
          <w:lang w:val="en-US" w:eastAsia="zh-CN"/>
          <w14:textFill>
            <w14:solidFill>
              <w14:schemeClr w14:val="tx1"/>
            </w14:solidFill>
          </w14:textFill>
        </w:rPr>
        <w:t>中</w:t>
      </w:r>
      <w:r>
        <w:rPr>
          <w:rFonts w:hint="eastAsia" w:ascii="Times New Roman" w:hAnsi="Times New Roman" w:cs="Times New Roman"/>
          <w:color w:val="000000" w:themeColor="text1"/>
          <w14:textFill>
            <w14:solidFill>
              <w14:schemeClr w14:val="tx1"/>
            </w14:solidFill>
          </w14:textFill>
        </w:rPr>
        <w:t>5.2进行</w:t>
      </w:r>
      <w:r>
        <w:rPr>
          <w:rFonts w:ascii="Times New Roman" w:hAnsi="Times New Roman" w:cs="Times New Roman"/>
          <w:color w:val="000000" w:themeColor="text1"/>
          <w14:textFill>
            <w14:solidFill>
              <w14:schemeClr w14:val="tx1"/>
            </w14:solidFill>
          </w14:textFill>
        </w:rPr>
        <w:t>。</w:t>
      </w:r>
    </w:p>
    <w:p w14:paraId="08BC243C">
      <w:pPr>
        <w:pStyle w:val="70"/>
        <w:tabs>
          <w:tab w:val="left" w:pos="585"/>
          <w:tab w:val="left" w:pos="720"/>
        </w:tabs>
        <w:spacing w:before="156" w:after="156"/>
        <w:ind w:left="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6.</w:t>
      </w:r>
      <w:r>
        <w:rPr>
          <w:rFonts w:hint="eastAsia" w:ascii="Times New Roman"/>
          <w:color w:val="000000" w:themeColor="text1"/>
          <w14:textFill>
            <w14:solidFill>
              <w14:schemeClr w14:val="tx1"/>
            </w14:solidFill>
          </w14:textFill>
        </w:rPr>
        <w:t>2.4</w:t>
      </w:r>
      <w:r>
        <w:rPr>
          <w:rFonts w:ascii="Times New Roman"/>
          <w:color w:val="000000" w:themeColor="text1"/>
          <w14:textFill>
            <w14:solidFill>
              <w14:schemeClr w14:val="tx1"/>
            </w14:solidFill>
          </w14:textFill>
        </w:rPr>
        <w:t>.3</w:t>
      </w:r>
      <w:r>
        <w:rPr>
          <w:rFonts w:hint="eastAsia" w:ascii="Times New Roman"/>
          <w:color w:val="000000" w:themeColor="text1"/>
          <w14:textFill>
            <w14:solidFill>
              <w14:schemeClr w14:val="tx1"/>
            </w14:solidFill>
          </w14:textFill>
        </w:rPr>
        <w:t>电感耦合等离子体质谱法</w:t>
      </w:r>
    </w:p>
    <w:p w14:paraId="34C6BB9C">
      <w:pPr>
        <w:pStyle w:val="65"/>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按JC/T </w:t>
      </w:r>
      <w:r>
        <w:rPr>
          <w:rFonts w:ascii="Times New Roman" w:hAnsi="Times New Roman" w:cs="Times New Roman"/>
          <w:color w:val="000000" w:themeColor="text1"/>
          <w14:textFill>
            <w14:solidFill>
              <w14:schemeClr w14:val="tx1"/>
            </w14:solidFill>
          </w14:textFill>
        </w:rPr>
        <w:t>3103</w:t>
      </w:r>
      <w:r>
        <w:rPr>
          <w:rFonts w:hint="eastAsia" w:ascii="Times New Roman" w:hAnsi="Times New Roman" w:cs="Times New Roman"/>
          <w:color w:val="000000" w:themeColor="text1"/>
          <w14:textFill>
            <w14:solidFill>
              <w14:schemeClr w14:val="tx1"/>
            </w14:solidFill>
          </w14:textFill>
        </w:rPr>
        <w:t>-20</w:t>
      </w:r>
      <w:r>
        <w:rPr>
          <w:rFonts w:ascii="Times New Roman" w:hAnsi="Times New Roman" w:cs="Times New Roman"/>
          <w:color w:val="000000" w:themeColor="text1"/>
          <w14:textFill>
            <w14:solidFill>
              <w14:schemeClr w14:val="tx1"/>
            </w14:solidFill>
          </w14:textFill>
        </w:rPr>
        <w:t>26</w:t>
      </w:r>
      <w:r>
        <w:rPr>
          <w:rFonts w:hint="eastAsia" w:ascii="Times New Roman" w:hAnsi="Times New Roman" w:cs="Times New Roman"/>
          <w:color w:val="000000" w:themeColor="text1"/>
          <w:lang w:val="en-US" w:eastAsia="zh-CN"/>
          <w14:textFill>
            <w14:solidFill>
              <w14:schemeClr w14:val="tx1"/>
            </w14:solidFill>
          </w14:textFill>
        </w:rPr>
        <w:t>中8.6</w:t>
      </w:r>
      <w:r>
        <w:rPr>
          <w:rFonts w:hint="eastAsia" w:ascii="Times New Roman" w:hAnsi="Times New Roman" w:cs="Times New Roman"/>
          <w:color w:val="000000" w:themeColor="text1"/>
          <w14:textFill>
            <w14:solidFill>
              <w14:schemeClr w14:val="tx1"/>
            </w14:solidFill>
          </w14:textFill>
        </w:rPr>
        <w:t>进行</w:t>
      </w:r>
      <w:r>
        <w:rPr>
          <w:rFonts w:ascii="Times New Roman" w:hAnsi="Times New Roman" w:cs="Times New Roman"/>
          <w:color w:val="000000" w:themeColor="text1"/>
          <w14:textFill>
            <w14:solidFill>
              <w14:schemeClr w14:val="tx1"/>
            </w14:solidFill>
          </w14:textFill>
        </w:rPr>
        <w:t>。</w:t>
      </w:r>
    </w:p>
    <w:p w14:paraId="471810C9">
      <w:pPr>
        <w:pStyle w:val="53"/>
        <w:numPr>
          <w:ilvl w:val="255"/>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6.2.5 戊唑醇含量</w:t>
      </w:r>
    </w:p>
    <w:p w14:paraId="0148C2F2">
      <w:pPr>
        <w:pStyle w:val="53"/>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6.</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 xml:space="preserve">5.1 </w:t>
      </w:r>
      <w:r>
        <w:rPr>
          <w:rFonts w:hint="eastAsia" w:ascii="Times New Roman" w:hAnsi="Times New Roman"/>
          <w:color w:val="000000" w:themeColor="text1"/>
          <w14:textFill>
            <w14:solidFill>
              <w14:schemeClr w14:val="tx1"/>
            </w14:solidFill>
          </w14:textFill>
        </w:rPr>
        <w:t>高效液相色谱法</w:t>
      </w:r>
    </w:p>
    <w:p w14:paraId="3245B4DF">
      <w:pPr>
        <w:pStyle w:val="53"/>
        <w:numPr>
          <w:ilvl w:val="0"/>
          <w:numId w:val="0"/>
        </w:numPr>
        <w:autoSpaceDE/>
        <w:autoSpaceDN/>
        <w:rPr>
          <w:rFonts w:hint="eastAsia"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6.</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5.1</w:t>
      </w:r>
      <w:r>
        <w:rPr>
          <w:rFonts w:hint="eastAsia"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试剂</w:t>
      </w:r>
    </w:p>
    <w:p w14:paraId="5F6B5BCF">
      <w:pPr>
        <w:pStyle w:val="53"/>
        <w:numPr>
          <w:ilvl w:val="0"/>
          <w:numId w:val="0"/>
        </w:numPr>
        <w:autoSpaceDE/>
        <w:autoSpaceDN/>
        <w:ind w:firstLine="420" w:firstLineChars="200"/>
        <w:rPr>
          <w:rFonts w:hint="eastAsia"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试剂</w:t>
      </w:r>
      <w:r>
        <w:rPr>
          <w:rFonts w:hint="eastAsia" w:ascii="Times New Roman" w:hAnsi="Times New Roman" w:eastAsia="宋体"/>
          <w:color w:val="000000" w:themeColor="text1"/>
          <w14:textFill>
            <w14:solidFill>
              <w14:schemeClr w14:val="tx1"/>
            </w14:solidFill>
          </w14:textFill>
        </w:rPr>
        <w:t>应符合以下规定</w:t>
      </w:r>
      <w:r>
        <w:rPr>
          <w:rFonts w:hint="eastAsia" w:ascii="Times New Roman" w:hAnsi="Times New Roman" w:eastAsia="宋体"/>
          <w:color w:val="000000" w:themeColor="text1"/>
          <w:lang w:eastAsia="zh-CN"/>
          <w14:textFill>
            <w14:solidFill>
              <w14:schemeClr w14:val="tx1"/>
            </w14:solidFill>
          </w14:textFill>
        </w:rPr>
        <w:t>：</w:t>
      </w:r>
    </w:p>
    <w:p w14:paraId="34AE003F">
      <w:pPr>
        <w:numPr>
          <w:ilvl w:val="0"/>
          <w:numId w:val="12"/>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乙腈，色谱纯；</w:t>
      </w:r>
    </w:p>
    <w:p w14:paraId="124C5358">
      <w:pPr>
        <w:numPr>
          <w:ilvl w:val="0"/>
          <w:numId w:val="12"/>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超纯水；</w:t>
      </w:r>
    </w:p>
    <w:p w14:paraId="1526245F">
      <w:pPr>
        <w:numPr>
          <w:ilvl w:val="0"/>
          <w:numId w:val="12"/>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甲醇，色谱级；</w:t>
      </w:r>
    </w:p>
    <w:p w14:paraId="734E1C56">
      <w:pPr>
        <w:numPr>
          <w:ilvl w:val="0"/>
          <w:numId w:val="12"/>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磷酸氢二铵</w:t>
      </w:r>
    </w:p>
    <w:p w14:paraId="16A2088E">
      <w:pPr>
        <w:numPr>
          <w:ilvl w:val="0"/>
          <w:numId w:val="12"/>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碳酸钠</w:t>
      </w:r>
    </w:p>
    <w:p w14:paraId="612EE60F">
      <w:pPr>
        <w:numPr>
          <w:ilvl w:val="0"/>
          <w:numId w:val="12"/>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戊唑醇标准样品</w:t>
      </w:r>
    </w:p>
    <w:p w14:paraId="5F3CA94F">
      <w:pPr>
        <w:numPr>
          <w:ilvl w:val="0"/>
          <w:numId w:val="12"/>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高效液相色谱校准－标准液（含20mg/L戊唑醇的甲醇标准溶液）</w:t>
      </w:r>
    </w:p>
    <w:p w14:paraId="35383010">
      <w:pPr>
        <w:pStyle w:val="53"/>
        <w:numPr>
          <w:ilvl w:val="0"/>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 xml:space="preserve">  仪器及设备</w:t>
      </w:r>
    </w:p>
    <w:p w14:paraId="484619ED">
      <w:pPr>
        <w:numPr>
          <w:ilvl w:val="-1"/>
          <w:numId w:val="0"/>
        </w:numPr>
        <w:autoSpaceDE/>
        <w:autoSpaceDN/>
        <w:ind w:left="420" w:firstLine="0" w:firstLineChars="0"/>
        <w:rPr>
          <w:rFonts w:hint="eastAsia" w:ascii="Times New Roman" w:hAnsi="Times New Roman" w:eastAsia="宋体"/>
          <w:color w:val="000000" w:themeColor="text1"/>
          <w:lang w:val="en-US" w:eastAsia="zh-CN"/>
          <w14:textFill>
            <w14:solidFill>
              <w14:schemeClr w14:val="tx1"/>
            </w14:solidFill>
          </w14:textFill>
        </w:rPr>
      </w:pPr>
      <w:r>
        <w:rPr>
          <w:rFonts w:ascii="Times New Roman" w:hAnsi="Times New Roman"/>
          <w:color w:val="000000" w:themeColor="text1"/>
          <w14:textFill>
            <w14:solidFill>
              <w14:schemeClr w14:val="tx1"/>
            </w14:solidFill>
          </w14:textFill>
        </w:rPr>
        <w:t>仪器及设备</w:t>
      </w:r>
      <w:r>
        <w:rPr>
          <w:rFonts w:hint="eastAsia" w:ascii="Times New Roman" w:hAnsi="Times New Roman"/>
          <w:color w:val="000000" w:themeColor="text1"/>
          <w:lang w:val="en-US" w:eastAsia="zh-CN"/>
          <w14:textFill>
            <w14:solidFill>
              <w14:schemeClr w14:val="tx1"/>
            </w14:solidFill>
          </w14:textFill>
        </w:rPr>
        <w:t>应</w:t>
      </w:r>
      <w:r>
        <w:rPr>
          <w:rFonts w:hint="eastAsia" w:ascii="Times New Roman" w:hAnsi="Times New Roman" w:eastAsia="宋体"/>
          <w:color w:val="000000" w:themeColor="text1"/>
          <w14:textFill>
            <w14:solidFill>
              <w14:schemeClr w14:val="tx1"/>
            </w14:solidFill>
          </w14:textFill>
        </w:rPr>
        <w:t>符合以下规定</w:t>
      </w:r>
      <w:r>
        <w:rPr>
          <w:rFonts w:hint="eastAsia" w:ascii="Times New Roman" w:hAnsi="Times New Roman" w:eastAsia="宋体"/>
          <w:color w:val="000000" w:themeColor="text1"/>
          <w:lang w:eastAsia="zh-CN"/>
          <w14:textFill>
            <w14:solidFill>
              <w14:schemeClr w14:val="tx1"/>
            </w14:solidFill>
          </w14:textFill>
        </w:rPr>
        <w:t>：</w:t>
      </w:r>
    </w:p>
    <w:p w14:paraId="4798B306">
      <w:pPr>
        <w:numPr>
          <w:ilvl w:val="0"/>
          <w:numId w:val="13"/>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高效液相色谱</w:t>
      </w:r>
    </w:p>
    <w:p w14:paraId="4818C585">
      <w:pPr>
        <w:numPr>
          <w:ilvl w:val="0"/>
          <w:numId w:val="13"/>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分析天平，</w:t>
      </w:r>
      <w:r>
        <w:rPr>
          <w:rFonts w:hint="eastAsia" w:ascii="Times New Roman" w:hAnsi="Times New Roman"/>
          <w:color w:val="000000" w:themeColor="text1"/>
          <w:lang w:val="en-US" w:eastAsia="zh-CN"/>
          <w14:textFill>
            <w14:solidFill>
              <w14:schemeClr w14:val="tx1"/>
            </w14:solidFill>
          </w14:textFill>
        </w:rPr>
        <w:t>灵敏度</w:t>
      </w:r>
      <w:r>
        <w:rPr>
          <w:rFonts w:hint="eastAsia" w:ascii="Times New Roman" w:hAnsi="Times New Roman"/>
          <w:color w:val="000000" w:themeColor="text1"/>
          <w14:textFill>
            <w14:solidFill>
              <w14:schemeClr w14:val="tx1"/>
            </w14:solidFill>
          </w14:textFill>
        </w:rPr>
        <w:t>为0.0001g</w:t>
      </w:r>
    </w:p>
    <w:p w14:paraId="795E5F12">
      <w:pPr>
        <w:numPr>
          <w:ilvl w:val="0"/>
          <w:numId w:val="13"/>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色谱柱：C18，150×46mm（内径），3μm</w:t>
      </w:r>
    </w:p>
    <w:p w14:paraId="34723AFD">
      <w:pPr>
        <w:numPr>
          <w:ilvl w:val="0"/>
          <w:numId w:val="13"/>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SAX固相萃取柱：500mg填料，4mL管</w:t>
      </w:r>
    </w:p>
    <w:p w14:paraId="1D4DC2B8">
      <w:pPr>
        <w:numPr>
          <w:ilvl w:val="0"/>
          <w:numId w:val="13"/>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3mL塑料一次性注射器</w:t>
      </w:r>
    </w:p>
    <w:p w14:paraId="4B33D945">
      <w:pPr>
        <w:numPr>
          <w:ilvl w:val="0"/>
          <w:numId w:val="13"/>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13mm×0.45μm尼龙针筒过滤器</w:t>
      </w:r>
    </w:p>
    <w:p w14:paraId="1F231066">
      <w:pPr>
        <w:pStyle w:val="53"/>
        <w:numPr>
          <w:ilvl w:val="0"/>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.3</w:t>
      </w:r>
      <w:r>
        <w:rPr>
          <w:rFonts w:ascii="Times New Roman" w:hAnsi="Times New Roman"/>
          <w:color w:val="000000" w:themeColor="text1"/>
          <w14:textFill>
            <w14:solidFill>
              <w14:schemeClr w14:val="tx1"/>
            </w14:solidFill>
          </w14:textFill>
        </w:rPr>
        <w:t xml:space="preserve">  仪器</w:t>
      </w:r>
      <w:r>
        <w:rPr>
          <w:rFonts w:hint="eastAsia" w:ascii="Times New Roman" w:hAnsi="Times New Roman"/>
          <w:color w:val="000000" w:themeColor="text1"/>
          <w14:textFill>
            <w14:solidFill>
              <w14:schemeClr w14:val="tx1"/>
            </w14:solidFill>
          </w14:textFill>
        </w:rPr>
        <w:t>条件</w:t>
      </w:r>
    </w:p>
    <w:p w14:paraId="7BBE31D3">
      <w:pPr>
        <w:numPr>
          <w:ilvl w:val="-1"/>
          <w:numId w:val="0"/>
        </w:numPr>
        <w:autoSpaceDE/>
        <w:autoSpaceDN/>
        <w:ind w:left="420" w:firstLine="0" w:firstLineChars="0"/>
        <w:rPr>
          <w:rFonts w:hint="eastAsia" w:ascii="Times New Roman" w:hAnsi="Times New Roman" w:eastAsia="宋体"/>
          <w:color w:val="000000" w:themeColor="text1"/>
          <w:lang w:val="en-US" w:eastAsia="zh-CN"/>
          <w14:textFill>
            <w14:solidFill>
              <w14:schemeClr w14:val="tx1"/>
            </w14:solidFill>
          </w14:textFill>
        </w:rPr>
      </w:pPr>
      <w:r>
        <w:rPr>
          <w:rFonts w:ascii="Times New Roman" w:hAnsi="Times New Roman"/>
          <w:color w:val="000000" w:themeColor="text1"/>
          <w14:textFill>
            <w14:solidFill>
              <w14:schemeClr w14:val="tx1"/>
            </w14:solidFill>
          </w14:textFill>
        </w:rPr>
        <w:t>仪器</w:t>
      </w:r>
      <w:r>
        <w:rPr>
          <w:rFonts w:hint="eastAsia" w:ascii="Times New Roman" w:hAnsi="Times New Roman"/>
          <w:color w:val="000000" w:themeColor="text1"/>
          <w:lang w:val="en-US" w:eastAsia="zh-CN"/>
          <w14:textFill>
            <w14:solidFill>
              <w14:schemeClr w14:val="tx1"/>
            </w14:solidFill>
          </w14:textFill>
        </w:rPr>
        <w:t>条件应</w:t>
      </w:r>
      <w:r>
        <w:rPr>
          <w:rFonts w:hint="eastAsia" w:ascii="Times New Roman" w:hAnsi="Times New Roman" w:eastAsia="宋体"/>
          <w:color w:val="000000" w:themeColor="text1"/>
          <w14:textFill>
            <w14:solidFill>
              <w14:schemeClr w14:val="tx1"/>
            </w14:solidFill>
          </w14:textFill>
        </w:rPr>
        <w:t>符合以下规定</w:t>
      </w:r>
      <w:r>
        <w:rPr>
          <w:rFonts w:hint="eastAsia" w:ascii="Times New Roman" w:hAnsi="Times New Roman" w:eastAsia="宋体"/>
          <w:color w:val="000000" w:themeColor="text1"/>
          <w:lang w:eastAsia="zh-CN"/>
          <w14:textFill>
            <w14:solidFill>
              <w14:schemeClr w14:val="tx1"/>
            </w14:solidFill>
          </w14:textFill>
        </w:rPr>
        <w:t>：</w:t>
      </w:r>
    </w:p>
    <w:p w14:paraId="1F38D4DA">
      <w:pPr>
        <w:numPr>
          <w:ilvl w:val="0"/>
          <w:numId w:val="14"/>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柱温：35℃</w:t>
      </w:r>
    </w:p>
    <w:p w14:paraId="624A60B9">
      <w:pPr>
        <w:numPr>
          <w:ilvl w:val="0"/>
          <w:numId w:val="14"/>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流速：1.00mL/min</w:t>
      </w:r>
    </w:p>
    <w:p w14:paraId="5A6D7584">
      <w:pPr>
        <w:numPr>
          <w:ilvl w:val="0"/>
          <w:numId w:val="14"/>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流动相：乙腈/磷酸氢二铵缓冲液（体积比为55:45）</w:t>
      </w:r>
    </w:p>
    <w:p w14:paraId="344240C4">
      <w:pPr>
        <w:numPr>
          <w:ilvl w:val="0"/>
          <w:numId w:val="14"/>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检测波长：195nm</w:t>
      </w:r>
    </w:p>
    <w:p w14:paraId="6CBB63AF">
      <w:pPr>
        <w:numPr>
          <w:ilvl w:val="0"/>
          <w:numId w:val="14"/>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进样量：10μL</w:t>
      </w:r>
    </w:p>
    <w:p w14:paraId="6BEC3186">
      <w:pPr>
        <w:numPr>
          <w:ilvl w:val="0"/>
          <w:numId w:val="14"/>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数据采集时间：12min</w:t>
      </w:r>
    </w:p>
    <w:p w14:paraId="5F34D2BF">
      <w:pPr>
        <w:numPr>
          <w:ilvl w:val="0"/>
          <w:numId w:val="14"/>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洗脱方式：等度洗脱</w:t>
      </w:r>
    </w:p>
    <w:p w14:paraId="0885C6FA">
      <w:pPr>
        <w:pStyle w:val="53"/>
        <w:numPr>
          <w:ilvl w:val="0"/>
          <w:numId w:val="0"/>
        </w:num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 xml:space="preserve"> 操作步骤</w:t>
      </w:r>
    </w:p>
    <w:p w14:paraId="0F2F1347">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流动相制备</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称取1.3g</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精确至0.0001g</w:t>
      </w:r>
      <w:r>
        <w:rPr>
          <w:rFonts w:hint="eastAsia" w:ascii="Times New Roman" w:hAnsi="Times New Roman"/>
          <w:color w:val="000000" w:themeColor="text1"/>
          <w:lang w:eastAsia="zh-CN"/>
          <w14:textFill>
            <w14:solidFill>
              <w14:schemeClr w14:val="tx1"/>
            </w14:solidFill>
          </w14:textFill>
        </w:rPr>
        <w:t>）</w:t>
      </w:r>
      <w:r>
        <w:rPr>
          <w:rFonts w:ascii="Times New Roman" w:hAnsi="Times New Roman"/>
          <w:color w:val="000000" w:themeColor="text1"/>
          <w14:textFill>
            <w14:solidFill>
              <w14:schemeClr w14:val="tx1"/>
            </w14:solidFill>
          </w14:textFill>
        </w:rPr>
        <w:t>磷酸氢二铵，溶解于300mL水中，转移至1000mL容量瓶中，</w:t>
      </w:r>
      <w:r>
        <w:rPr>
          <w:rFonts w:hint="eastAsia" w:ascii="Times New Roman" w:hAnsi="Times New Roman"/>
          <w:color w:val="000000" w:themeColor="text1"/>
          <w14:textFill>
            <w14:solidFill>
              <w14:schemeClr w14:val="tx1"/>
            </w14:solidFill>
          </w14:textFill>
        </w:rPr>
        <w:t>定容，摇匀</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用</w:t>
      </w:r>
      <w:r>
        <w:rPr>
          <w:rFonts w:ascii="Times New Roman" w:hAnsi="Times New Roman"/>
          <w:color w:val="000000" w:themeColor="text1"/>
          <w14:textFill>
            <w14:solidFill>
              <w14:schemeClr w14:val="tx1"/>
            </w14:solidFill>
          </w14:textFill>
        </w:rPr>
        <w:t>0.45μm薄膜过滤。滤液即为磷酸氢二铵缓冲溶液。量取450mL磷酸氢二铵缓冲液和550mL乙腈，</w:t>
      </w:r>
      <w:r>
        <w:rPr>
          <w:rFonts w:hint="eastAsia" w:ascii="Times New Roman" w:hAnsi="Times New Roman"/>
          <w:color w:val="000000" w:themeColor="text1"/>
          <w14:textFill>
            <w14:solidFill>
              <w14:schemeClr w14:val="tx1"/>
            </w14:solidFill>
          </w14:textFill>
        </w:rPr>
        <w:t>混合均匀</w:t>
      </w:r>
      <w:r>
        <w:rPr>
          <w:rFonts w:ascii="Times New Roman" w:hAnsi="Times New Roman"/>
          <w:color w:val="000000" w:themeColor="text1"/>
          <w14:textFill>
            <w14:solidFill>
              <w14:schemeClr w14:val="tx1"/>
            </w14:solidFill>
          </w14:textFill>
        </w:rPr>
        <w:t>。</w:t>
      </w:r>
    </w:p>
    <w:p w14:paraId="1C0355F3">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20mg/L高效液相色谱校准－标准液的制备</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称取0.1g戊唑醇标准</w:t>
      </w:r>
      <w:r>
        <w:rPr>
          <w:rFonts w:hint="eastAsia" w:ascii="Times New Roman" w:hAnsi="Times New Roman"/>
          <w:color w:val="000000" w:themeColor="text1"/>
          <w14:textFill>
            <w14:solidFill>
              <w14:schemeClr w14:val="tx1"/>
            </w14:solidFill>
          </w14:textFill>
        </w:rPr>
        <w:t>样</w:t>
      </w:r>
      <w:r>
        <w:rPr>
          <w:rFonts w:ascii="Times New Roman" w:hAnsi="Times New Roman"/>
          <w:color w:val="000000" w:themeColor="text1"/>
          <w14:textFill>
            <w14:solidFill>
              <w14:schemeClr w14:val="tx1"/>
            </w14:solidFill>
          </w14:textFill>
        </w:rPr>
        <w:t>品于250mL的容量瓶中，用甲醇溶解后，</w:t>
      </w:r>
      <w:r>
        <w:rPr>
          <w:rFonts w:hint="eastAsia" w:ascii="Times New Roman" w:hAnsi="Times New Roman"/>
          <w:color w:val="000000" w:themeColor="text1"/>
          <w14:textFill>
            <w14:solidFill>
              <w14:schemeClr w14:val="tx1"/>
            </w14:solidFill>
          </w14:textFill>
        </w:rPr>
        <w:t>定容，摇匀</w:t>
      </w:r>
      <w:r>
        <w:rPr>
          <w:rFonts w:ascii="Times New Roman" w:hAnsi="Times New Roman"/>
          <w:color w:val="000000" w:themeColor="text1"/>
          <w14:textFill>
            <w14:solidFill>
              <w14:schemeClr w14:val="tx1"/>
            </w14:solidFill>
          </w14:textFill>
        </w:rPr>
        <w:t>。用移液管</w:t>
      </w:r>
      <w:r>
        <w:rPr>
          <w:rFonts w:hint="eastAsia" w:ascii="Times New Roman" w:hAnsi="Times New Roman"/>
          <w:color w:val="000000" w:themeColor="text1"/>
          <w14:textFill>
            <w14:solidFill>
              <w14:schemeClr w14:val="tx1"/>
            </w14:solidFill>
          </w14:textFill>
        </w:rPr>
        <w:t>量</w:t>
      </w:r>
      <w:r>
        <w:rPr>
          <w:rFonts w:ascii="Times New Roman" w:hAnsi="Times New Roman"/>
          <w:color w:val="000000" w:themeColor="text1"/>
          <w14:textFill>
            <w14:solidFill>
              <w14:schemeClr w14:val="tx1"/>
            </w14:solidFill>
          </w14:textFill>
        </w:rPr>
        <w:t>取10mL</w:t>
      </w:r>
      <w:r>
        <w:rPr>
          <w:rFonts w:hint="eastAsia" w:ascii="Times New Roman" w:hAnsi="Times New Roman"/>
          <w:color w:val="000000" w:themeColor="text1"/>
          <w14:textFill>
            <w14:solidFill>
              <w14:schemeClr w14:val="tx1"/>
            </w14:solidFill>
          </w14:textFill>
        </w:rPr>
        <w:t>上述溶液于</w:t>
      </w:r>
      <w:r>
        <w:rPr>
          <w:rFonts w:ascii="Times New Roman" w:hAnsi="Times New Roman"/>
          <w:color w:val="000000" w:themeColor="text1"/>
          <w14:textFill>
            <w14:solidFill>
              <w14:schemeClr w14:val="tx1"/>
            </w14:solidFill>
          </w14:textFill>
        </w:rPr>
        <w:t>200mL容量瓶中，用甲醇</w:t>
      </w:r>
      <w:r>
        <w:rPr>
          <w:rFonts w:hint="eastAsia" w:ascii="Times New Roman" w:hAnsi="Times New Roman"/>
          <w:color w:val="000000" w:themeColor="text1"/>
          <w14:textFill>
            <w14:solidFill>
              <w14:schemeClr w14:val="tx1"/>
            </w14:solidFill>
          </w14:textFill>
        </w:rPr>
        <w:t>定容</w:t>
      </w:r>
      <w:r>
        <w:rPr>
          <w:rFonts w:ascii="Times New Roman" w:hAnsi="Times New Roman"/>
          <w:color w:val="000000" w:themeColor="text1"/>
          <w14:textFill>
            <w14:solidFill>
              <w14:schemeClr w14:val="tx1"/>
            </w14:solidFill>
          </w14:textFill>
        </w:rPr>
        <w:t>并摇匀。</w:t>
      </w:r>
    </w:p>
    <w:p w14:paraId="470505DF">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样品制备</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称取</w:t>
      </w:r>
      <w:r>
        <w:rPr>
          <w:rFonts w:ascii="Times New Roman" w:hAnsi="Times New Roman"/>
          <w:color w:val="000000" w:themeColor="text1"/>
          <w14:textFill>
            <w14:solidFill>
              <w14:schemeClr w14:val="tx1"/>
            </w14:solidFill>
          </w14:textFill>
        </w:rPr>
        <w:t>约</w:t>
      </w:r>
      <w:r>
        <w:rPr>
          <w:rFonts w:hint="eastAsia" w:ascii="Times New Roman" w:hAnsi="Times New Roman"/>
          <w:color w:val="000000" w:themeColor="text1"/>
          <w14:textFill>
            <w14:solidFill>
              <w14:schemeClr w14:val="tx1"/>
            </w14:solidFill>
          </w14:textFill>
        </w:rPr>
        <w:t>0.125g CBA-A木材防腐剂样品于250mL容量瓶中，再加入约0</w:t>
      </w:r>
      <w:r>
        <w:rPr>
          <w:rFonts w:ascii="Times New Roman" w:hAnsi="Times New Roman"/>
          <w:color w:val="000000" w:themeColor="text1"/>
          <w14:textFill>
            <w14:solidFill>
              <w14:schemeClr w14:val="tx1"/>
            </w14:solidFill>
          </w14:textFill>
        </w:rPr>
        <w:t>.25</w:t>
      </w:r>
      <w:r>
        <w:rPr>
          <w:rFonts w:hint="eastAsia" w:ascii="Times New Roman" w:hAnsi="Times New Roman"/>
          <w:color w:val="000000" w:themeColor="text1"/>
          <w14:textFill>
            <w14:solidFill>
              <w14:schemeClr w14:val="tx1"/>
            </w14:solidFill>
          </w14:textFill>
        </w:rPr>
        <w:t>g碳酸钠，用</w:t>
      </w:r>
      <w:r>
        <w:rPr>
          <w:rFonts w:ascii="Times New Roman" w:hAnsi="Times New Roman"/>
          <w:color w:val="000000" w:themeColor="text1"/>
          <w14:textFill>
            <w14:solidFill>
              <w14:schemeClr w14:val="tx1"/>
            </w14:solidFill>
          </w14:textFill>
        </w:rPr>
        <w:t>甲醇</w:t>
      </w:r>
      <w:r>
        <w:rPr>
          <w:rFonts w:hint="eastAsia" w:ascii="Times New Roman" w:hAnsi="Times New Roman"/>
          <w:color w:val="000000" w:themeColor="text1"/>
          <w14:textFill>
            <w14:solidFill>
              <w14:schemeClr w14:val="tx1"/>
            </w14:solidFill>
          </w14:textFill>
        </w:rPr>
        <w:t>定容，摇匀。试样溶液应通过SAX固相萃取柱处理。</w:t>
      </w:r>
    </w:p>
    <w:p w14:paraId="26BF1780">
      <w:pPr>
        <w:autoSpaceDE/>
        <w:autoSpaceDN/>
        <w:ind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测定：待仪器基线</w:t>
      </w:r>
      <w:r>
        <w:rPr>
          <w:rFonts w:hint="eastAsia" w:ascii="Times New Roman" w:hAnsi="Times New Roman"/>
          <w:color w:val="000000" w:themeColor="text1"/>
          <w14:textFill>
            <w14:solidFill>
              <w14:schemeClr w14:val="tx1"/>
            </w14:solidFill>
          </w14:textFill>
        </w:rPr>
        <w:t>平稳</w:t>
      </w:r>
      <w:r>
        <w:rPr>
          <w:rFonts w:ascii="Times New Roman" w:hAnsi="Times New Roman"/>
          <w:color w:val="000000" w:themeColor="text1"/>
          <w14:textFill>
            <w14:solidFill>
              <w14:schemeClr w14:val="tx1"/>
            </w14:solidFill>
          </w14:textFill>
        </w:rPr>
        <w:t>后，</w:t>
      </w:r>
      <w:r>
        <w:rPr>
          <w:rFonts w:hint="eastAsia" w:ascii="Times New Roman" w:hAnsi="Times New Roman"/>
          <w:color w:val="000000" w:themeColor="text1"/>
          <w14:textFill>
            <w14:solidFill>
              <w14:schemeClr w14:val="tx1"/>
            </w14:solidFill>
          </w14:textFill>
        </w:rPr>
        <w:t>对</w:t>
      </w:r>
      <w:r>
        <w:rPr>
          <w:rFonts w:ascii="Times New Roman" w:hAnsi="Times New Roman"/>
          <w:color w:val="000000" w:themeColor="text1"/>
          <w14:textFill>
            <w14:solidFill>
              <w14:schemeClr w14:val="tx1"/>
            </w14:solidFill>
          </w14:textFill>
        </w:rPr>
        <w:t>标样溶液</w:t>
      </w:r>
      <w:r>
        <w:rPr>
          <w:rFonts w:hint="eastAsia" w:ascii="Times New Roman" w:hAnsi="Times New Roman"/>
          <w:color w:val="000000" w:themeColor="text1"/>
          <w14:textFill>
            <w14:solidFill>
              <w14:schemeClr w14:val="tx1"/>
            </w14:solidFill>
          </w14:textFill>
        </w:rPr>
        <w:t>及</w:t>
      </w:r>
      <w:r>
        <w:rPr>
          <w:rFonts w:ascii="Times New Roman" w:hAnsi="Times New Roman"/>
          <w:color w:val="000000" w:themeColor="text1"/>
          <w14:textFill>
            <w14:solidFill>
              <w14:schemeClr w14:val="tx1"/>
            </w14:solidFill>
          </w14:textFill>
        </w:rPr>
        <w:t>试样溶液</w:t>
      </w:r>
      <w:r>
        <w:rPr>
          <w:rFonts w:hint="eastAsia" w:ascii="Times New Roman" w:hAnsi="Times New Roman"/>
          <w:color w:val="000000" w:themeColor="text1"/>
          <w14:textFill>
            <w14:solidFill>
              <w14:schemeClr w14:val="tx1"/>
            </w14:solidFill>
          </w14:textFill>
        </w:rPr>
        <w:t>进行</w:t>
      </w:r>
      <w:r>
        <w:rPr>
          <w:rFonts w:ascii="Times New Roman" w:hAnsi="Times New Roman"/>
          <w:color w:val="000000" w:themeColor="text1"/>
          <w14:textFill>
            <w14:solidFill>
              <w14:schemeClr w14:val="tx1"/>
            </w14:solidFill>
          </w14:textFill>
        </w:rPr>
        <w:t>色谱测定。</w:t>
      </w:r>
    </w:p>
    <w:p w14:paraId="0BF55B07">
      <w:pPr>
        <w:autoSpaceDE/>
        <w:autoSpaceDN/>
        <w:ind w:firstLine="0" w:firstLineChars="0"/>
        <w:rPr>
          <w:rFonts w:ascii="Times New Roman" w:hAnsi="Times New Roman" w:eastAsia="黑体"/>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.5</w:t>
      </w:r>
      <w:r>
        <w:rPr>
          <w:rFonts w:hint="eastAsia" w:ascii="Times New Roman" w:hAnsi="Times New Roman" w:eastAsia="黑体"/>
          <w:color w:val="000000" w:themeColor="text1"/>
          <w14:textFill>
            <w14:solidFill>
              <w14:schemeClr w14:val="tx1"/>
            </w14:solidFill>
          </w14:textFill>
        </w:rPr>
        <w:t xml:space="preserve"> 计算</w:t>
      </w:r>
    </w:p>
    <w:p w14:paraId="5EB1C0A2">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戊唑醇含量按</w:t>
      </w:r>
      <w:r>
        <w:rPr>
          <w:rFonts w:hint="eastAsia" w:ascii="Times New Roman" w:hAnsi="Times New Roman"/>
          <w:color w:val="000000" w:themeColor="text1"/>
          <w14:textFill>
            <w14:solidFill>
              <w14:schemeClr w14:val="tx1"/>
            </w14:solidFill>
          </w14:textFill>
        </w:rPr>
        <w:t>公式</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8</w:t>
      </w:r>
      <w:r>
        <w:rPr>
          <w:rFonts w:ascii="Times New Roman" w:hAnsi="Times New Roman"/>
          <w:color w:val="000000" w:themeColor="text1"/>
          <w14:textFill>
            <w14:solidFill>
              <w14:schemeClr w14:val="tx1"/>
            </w14:solidFill>
          </w14:textFill>
        </w:rPr>
        <w:t>）计算</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结果保留三位有效数字</w:t>
      </w:r>
      <w:r>
        <w:rPr>
          <w:rFonts w:hint="eastAsia" w:ascii="Times New Roman" w:hAnsi="Times New Roman"/>
          <w:color w:val="000000" w:themeColor="text1"/>
          <w14:textFill>
            <w14:solidFill>
              <w14:schemeClr w14:val="tx1"/>
            </w14:solidFill>
          </w14:textFill>
        </w:rPr>
        <w:t>。</w:t>
      </w:r>
    </w:p>
    <w:p w14:paraId="6437DD51">
      <w:pPr>
        <w:autoSpaceDE/>
        <w:autoSpaceDN/>
        <w:rPr>
          <w:rFonts w:ascii="Times New Roman" w:hAnsi="Times New Roman"/>
          <w:color w:val="000000" w:themeColor="text1"/>
          <w14:textFill>
            <w14:solidFill>
              <w14:schemeClr w14:val="tx1"/>
            </w14:solidFill>
          </w14:textFill>
        </w:rPr>
      </w:pPr>
    </w:p>
    <w:p w14:paraId="4E325DCB">
      <w:pPr>
        <w:autoSpaceDE/>
        <w:autoSpaceDN/>
        <w:ind w:firstLine="0" w:firstLineChars="0"/>
        <w:jc w:val="right"/>
        <w:rPr>
          <w:rFonts w:ascii="Times New Roman" w:hAnsi="Times New Roman"/>
          <w:color w:val="000000" w:themeColor="text1"/>
          <w14:textFill>
            <w14:solidFill>
              <w14:schemeClr w14:val="tx1"/>
            </w14:solidFill>
          </w14:textFill>
        </w:rPr>
      </w:pPr>
      <m:oMath>
        <m:sSub>
          <m:sSubPr>
            <m:ctrlPr>
              <w:rPr>
                <w:rFonts w:ascii="Cambria Math" w:hAnsi="Cambria Math"/>
                <w:i/>
                <w:color w:val="000000" w:themeColor="text1"/>
                <w14:textFill>
                  <w14:solidFill>
                    <w14:schemeClr w14:val="tx1"/>
                  </w14:solidFill>
                </w14:textFill>
              </w:rPr>
            </m:ctrlPr>
          </m:sSubPr>
          <m:e>
            <m:r>
              <m:rPr>
                <m:nor/>
              </m:rPr>
              <w:rPr>
                <w:rFonts w:hint="eastAsia" w:ascii="Times New Roman" w:hAnsi="Times New Roman"/>
                <w:i/>
                <w:color w:val="000000" w:themeColor="text1"/>
                <w14:textFill>
                  <w14:solidFill>
                    <w14:schemeClr w14:val="tx1"/>
                  </w14:solidFill>
                </w14:textFill>
              </w:rPr>
              <m:t>w</m:t>
            </m:r>
            <m:ctrlPr>
              <w:rPr>
                <w:rFonts w:ascii="Cambria Math" w:hAnsi="Cambria Math"/>
                <w:i/>
                <w:color w:val="000000" w:themeColor="text1"/>
                <w14:textFill>
                  <w14:solidFill>
                    <w14:schemeClr w14:val="tx1"/>
                  </w14:solidFill>
                </w14:textFill>
              </w:rPr>
            </m:ctrlPr>
          </m:e>
          <m:sub>
            <m:r>
              <m:rPr/>
              <w:rPr>
                <w:rFonts w:ascii="Times New Roman" w:hAnsi="Times New Roman"/>
                <w:color w:val="000000" w:themeColor="text1"/>
                <w14:textFill>
                  <w14:solidFill>
                    <w14:schemeClr w14:val="tx1"/>
                  </w14:solidFill>
                </w14:textFill>
              </w:rPr>
              <m:t>3</m:t>
            </m:r>
            <m:ctrlPr>
              <w:rPr>
                <w:rFonts w:ascii="Cambria Math" w:hAnsi="Cambria Math"/>
                <w:i/>
                <w:color w:val="000000" w:themeColor="text1"/>
                <w14:textFill>
                  <w14:solidFill>
                    <w14:schemeClr w14:val="tx1"/>
                  </w14:solidFill>
                </w14:textFill>
              </w:rPr>
            </m:ctrlPr>
          </m:sub>
        </m:sSub>
        <m:r>
          <m:rPr>
            <m:nor/>
            <m:sty m:val="p"/>
          </m:rPr>
          <w:rPr>
            <w:rStyle w:val="73"/>
            <w:rFonts w:ascii="Times New Roman" w:hAnsi="Times New Roman"/>
            <w:b w:val="0"/>
            <w:i w:val="0"/>
            <w:color w:val="000000" w:themeColor="text1"/>
            <w14:textFill>
              <w14:solidFill>
                <w14:schemeClr w14:val="tx1"/>
              </w14:solidFill>
            </w14:textFill>
          </w:rPr>
          <m:t>=</m:t>
        </m:r>
        <m:f>
          <m:fPr>
            <m:ctrlPr>
              <w:rPr>
                <w:rStyle w:val="73"/>
                <w:rFonts w:ascii="Cambria Math" w:hAnsi="Cambria Math"/>
                <w:i/>
                <w:color w:val="000000" w:themeColor="text1"/>
                <w14:textFill>
                  <w14:solidFill>
                    <w14:schemeClr w14:val="tx1"/>
                  </w14:solidFill>
                </w14:textFill>
              </w:rPr>
            </m:ctrlPr>
          </m:fPr>
          <m:num>
            <m:sSub>
              <m:sSubPr>
                <m:ctrlPr>
                  <w:rPr>
                    <w:rStyle w:val="73"/>
                    <w:rFonts w:ascii="Cambria Math" w:hAnsi="Cambria Math"/>
                    <w:i/>
                    <w:color w:val="000000" w:themeColor="text1"/>
                    <w14:textFill>
                      <w14:solidFill>
                        <w14:schemeClr w14:val="tx1"/>
                      </w14:solidFill>
                    </w14:textFill>
                  </w:rPr>
                </m:ctrlPr>
              </m:sSubPr>
              <m:e>
                <m:r>
                  <m:rPr>
                    <m:nor/>
                  </m:rPr>
                  <w:rPr>
                    <w:rStyle w:val="73"/>
                    <w:rFonts w:ascii="Times New Roman" w:hAnsi="Times New Roman"/>
                    <w:i/>
                    <w:color w:val="000000" w:themeColor="text1"/>
                    <w14:textFill>
                      <w14:solidFill>
                        <w14:schemeClr w14:val="tx1"/>
                      </w14:solidFill>
                    </w14:textFill>
                  </w:rPr>
                  <m:t>R</m:t>
                </m:r>
                <m:ctrlPr>
                  <w:rPr>
                    <w:rStyle w:val="73"/>
                    <w:rFonts w:ascii="Cambria Math" w:hAnsi="Cambria Math"/>
                    <w:i/>
                    <w:color w:val="000000" w:themeColor="text1"/>
                    <w14:textFill>
                      <w14:solidFill>
                        <w14:schemeClr w14:val="tx1"/>
                      </w14:solidFill>
                    </w14:textFill>
                  </w:rPr>
                </m:ctrlPr>
              </m:e>
              <m:sub>
                <m:r>
                  <m:rPr>
                    <m:nor/>
                    <m:sty m:val="p"/>
                  </m:rPr>
                  <w:rPr>
                    <w:rStyle w:val="73"/>
                    <w:rFonts w:ascii="Times New Roman" w:hAnsi="Times New Roman"/>
                    <w:b w:val="0"/>
                    <w:i w:val="0"/>
                    <w:color w:val="000000" w:themeColor="text1"/>
                    <w14:textFill>
                      <w14:solidFill>
                        <w14:schemeClr w14:val="tx1"/>
                      </w14:solidFill>
                    </w14:textFill>
                  </w:rPr>
                  <m:t>2</m:t>
                </m:r>
                <m:ctrlPr>
                  <w:rPr>
                    <w:rStyle w:val="73"/>
                    <w:rFonts w:ascii="Cambria Math" w:hAnsi="Cambria Math"/>
                    <w:i/>
                    <w:color w:val="000000" w:themeColor="text1"/>
                    <w14:textFill>
                      <w14:solidFill>
                        <w14:schemeClr w14:val="tx1"/>
                      </w14:solidFill>
                    </w14:textFill>
                  </w:rPr>
                </m:ctrlPr>
              </m:sub>
            </m:sSub>
            <m:r>
              <m:rPr>
                <m:nor/>
                <m:sty m:val="p"/>
              </m:rPr>
              <w:rPr>
                <w:rStyle w:val="73"/>
                <w:rFonts w:ascii="Times New Roman" w:hAnsi="Times New Roman"/>
                <w:b w:val="0"/>
                <w:i w:val="0"/>
                <w:color w:val="000000" w:themeColor="text1"/>
                <w14:textFill>
                  <w14:solidFill>
                    <w14:schemeClr w14:val="tx1"/>
                  </w14:solidFill>
                </w14:textFill>
              </w:rPr>
              <m:t>×</m:t>
            </m:r>
            <m:sSub>
              <m:sSubPr>
                <m:ctrlPr>
                  <w:rPr>
                    <w:rStyle w:val="73"/>
                    <w:rFonts w:ascii="Cambria Math" w:hAnsi="Cambria Math"/>
                    <w:i/>
                    <w:color w:val="000000" w:themeColor="text1"/>
                    <w14:textFill>
                      <w14:solidFill>
                        <w14:schemeClr w14:val="tx1"/>
                      </w14:solidFill>
                    </w14:textFill>
                  </w:rPr>
                </m:ctrlPr>
              </m:sSubPr>
              <m:e>
                <m:r>
                  <m:rPr>
                    <m:nor/>
                  </m:rPr>
                  <w:rPr>
                    <w:rStyle w:val="73"/>
                    <w:rFonts w:ascii="Times New Roman" w:hAnsi="Times New Roman"/>
                    <w:i/>
                    <w:color w:val="000000" w:themeColor="text1"/>
                    <w14:textFill>
                      <w14:solidFill>
                        <w14:schemeClr w14:val="tx1"/>
                      </w14:solidFill>
                    </w14:textFill>
                  </w:rPr>
                  <m:t>m</m:t>
                </m:r>
                <m:ctrlPr>
                  <w:rPr>
                    <w:rStyle w:val="73"/>
                    <w:rFonts w:ascii="Cambria Math" w:hAnsi="Cambria Math"/>
                    <w:i/>
                    <w:color w:val="000000" w:themeColor="text1"/>
                    <w14:textFill>
                      <w14:solidFill>
                        <w14:schemeClr w14:val="tx1"/>
                      </w14:solidFill>
                    </w14:textFill>
                  </w:rPr>
                </m:ctrlPr>
              </m:e>
              <m:sub>
                <m:r>
                  <m:rPr>
                    <m:nor/>
                    <m:sty m:val="p"/>
                  </m:rPr>
                  <w:rPr>
                    <w:rStyle w:val="73"/>
                    <w:rFonts w:ascii="Times New Roman" w:hAnsi="Times New Roman"/>
                    <w:b w:val="0"/>
                    <w:i w:val="0"/>
                    <w:color w:val="000000" w:themeColor="text1"/>
                    <w14:textFill>
                      <w14:solidFill>
                        <w14:schemeClr w14:val="tx1"/>
                      </w14:solidFill>
                    </w14:textFill>
                  </w:rPr>
                  <m:t>5</m:t>
                </m:r>
                <m:ctrlPr>
                  <w:rPr>
                    <w:rStyle w:val="73"/>
                    <w:rFonts w:ascii="Cambria Math" w:hAnsi="Cambria Math"/>
                    <w:i/>
                    <w:color w:val="000000" w:themeColor="text1"/>
                    <w14:textFill>
                      <w14:solidFill>
                        <w14:schemeClr w14:val="tx1"/>
                      </w14:solidFill>
                    </w14:textFill>
                  </w:rPr>
                </m:ctrlPr>
              </m:sub>
            </m:sSub>
            <m:r>
              <m:rPr>
                <m:nor/>
                <m:sty m:val="p"/>
              </m:rPr>
              <w:rPr>
                <w:rStyle w:val="73"/>
                <w:rFonts w:ascii="Times New Roman" w:hAnsi="Times New Roman"/>
                <w:b w:val="0"/>
                <w:i w:val="0"/>
                <w:color w:val="000000" w:themeColor="text1"/>
                <w14:textFill>
                  <w14:solidFill>
                    <w14:schemeClr w14:val="tx1"/>
                  </w14:solidFill>
                </w14:textFill>
              </w:rPr>
              <m:t>×</m:t>
            </m:r>
            <m:r>
              <m:rPr>
                <m:nor/>
              </m:rPr>
              <w:rPr>
                <w:rStyle w:val="73"/>
                <w:rFonts w:ascii="Times New Roman" w:hAnsi="Times New Roman"/>
                <w:i/>
                <w:color w:val="000000" w:themeColor="text1"/>
                <w14:textFill>
                  <w14:solidFill>
                    <w14:schemeClr w14:val="tx1"/>
                  </w14:solidFill>
                </w14:textFill>
              </w:rPr>
              <m:t>p</m:t>
            </m:r>
            <m:ctrlPr>
              <w:rPr>
                <w:rStyle w:val="73"/>
                <w:rFonts w:ascii="Cambria Math" w:hAnsi="Cambria Math"/>
                <w:i/>
                <w:color w:val="000000" w:themeColor="text1"/>
                <w14:textFill>
                  <w14:solidFill>
                    <w14:schemeClr w14:val="tx1"/>
                  </w14:solidFill>
                </w14:textFill>
              </w:rPr>
            </m:ctrlPr>
          </m:num>
          <m:den>
            <m:sSub>
              <m:sSubPr>
                <m:ctrlPr>
                  <w:rPr>
                    <w:rStyle w:val="73"/>
                    <w:rFonts w:ascii="Cambria Math" w:hAnsi="Cambria Math"/>
                    <w:i/>
                    <w:color w:val="000000" w:themeColor="text1"/>
                    <w14:textFill>
                      <w14:solidFill>
                        <w14:schemeClr w14:val="tx1"/>
                      </w14:solidFill>
                    </w14:textFill>
                  </w:rPr>
                </m:ctrlPr>
              </m:sSubPr>
              <m:e>
                <m:r>
                  <m:rPr>
                    <m:nor/>
                  </m:rPr>
                  <w:rPr>
                    <w:rStyle w:val="73"/>
                    <w:rFonts w:ascii="Times New Roman" w:hAnsi="Times New Roman"/>
                    <w:i/>
                    <w:color w:val="000000" w:themeColor="text1"/>
                    <w14:textFill>
                      <w14:solidFill>
                        <w14:schemeClr w14:val="tx1"/>
                      </w14:solidFill>
                    </w14:textFill>
                  </w:rPr>
                  <m:t>R</m:t>
                </m:r>
                <m:ctrlPr>
                  <w:rPr>
                    <w:rStyle w:val="73"/>
                    <w:rFonts w:ascii="Cambria Math" w:hAnsi="Cambria Math"/>
                    <w:i/>
                    <w:color w:val="000000" w:themeColor="text1"/>
                    <w14:textFill>
                      <w14:solidFill>
                        <w14:schemeClr w14:val="tx1"/>
                      </w14:solidFill>
                    </w14:textFill>
                  </w:rPr>
                </m:ctrlPr>
              </m:e>
              <m:sub>
                <m:r>
                  <m:rPr>
                    <m:nor/>
                    <m:sty m:val="p"/>
                  </m:rPr>
                  <w:rPr>
                    <w:rStyle w:val="73"/>
                    <w:rFonts w:ascii="Times New Roman" w:hAnsi="Times New Roman"/>
                    <w:b w:val="0"/>
                    <w:i w:val="0"/>
                    <w:color w:val="000000" w:themeColor="text1"/>
                    <w14:textFill>
                      <w14:solidFill>
                        <w14:schemeClr w14:val="tx1"/>
                      </w14:solidFill>
                    </w14:textFill>
                  </w:rPr>
                  <m:t>1</m:t>
                </m:r>
                <m:ctrlPr>
                  <w:rPr>
                    <w:rStyle w:val="73"/>
                    <w:rFonts w:ascii="Cambria Math" w:hAnsi="Cambria Math"/>
                    <w:i/>
                    <w:color w:val="000000" w:themeColor="text1"/>
                    <w14:textFill>
                      <w14:solidFill>
                        <w14:schemeClr w14:val="tx1"/>
                      </w14:solidFill>
                    </w14:textFill>
                  </w:rPr>
                </m:ctrlPr>
              </m:sub>
            </m:sSub>
            <m:r>
              <m:rPr>
                <m:nor/>
                <m:sty m:val="p"/>
              </m:rPr>
              <w:rPr>
                <w:rStyle w:val="73"/>
                <w:rFonts w:ascii="Times New Roman" w:hAnsi="Times New Roman"/>
                <w:b w:val="0"/>
                <w:i w:val="0"/>
                <w:color w:val="000000" w:themeColor="text1"/>
                <w14:textFill>
                  <w14:solidFill>
                    <w14:schemeClr w14:val="tx1"/>
                  </w14:solidFill>
                </w14:textFill>
              </w:rPr>
              <m:t>×</m:t>
            </m:r>
            <m:sSub>
              <m:sSubPr>
                <m:ctrlPr>
                  <w:rPr>
                    <w:rStyle w:val="73"/>
                    <w:rFonts w:ascii="Cambria Math" w:hAnsi="Cambria Math"/>
                    <w:i/>
                    <w:color w:val="000000" w:themeColor="text1"/>
                    <w14:textFill>
                      <w14:solidFill>
                        <w14:schemeClr w14:val="tx1"/>
                      </w14:solidFill>
                    </w14:textFill>
                  </w:rPr>
                </m:ctrlPr>
              </m:sSubPr>
              <m:e>
                <m:r>
                  <m:rPr>
                    <m:nor/>
                  </m:rPr>
                  <w:rPr>
                    <w:rStyle w:val="73"/>
                    <w:rFonts w:ascii="Times New Roman" w:hAnsi="Times New Roman"/>
                    <w:i/>
                    <w:color w:val="000000" w:themeColor="text1"/>
                    <w14:textFill>
                      <w14:solidFill>
                        <w14:schemeClr w14:val="tx1"/>
                      </w14:solidFill>
                    </w14:textFill>
                  </w:rPr>
                  <m:t>m</m:t>
                </m:r>
                <m:ctrlPr>
                  <w:rPr>
                    <w:rStyle w:val="73"/>
                    <w:rFonts w:ascii="Cambria Math" w:hAnsi="Cambria Math"/>
                    <w:i/>
                    <w:color w:val="000000" w:themeColor="text1"/>
                    <w14:textFill>
                      <w14:solidFill>
                        <w14:schemeClr w14:val="tx1"/>
                      </w14:solidFill>
                    </w14:textFill>
                  </w:rPr>
                </m:ctrlPr>
              </m:e>
              <m:sub>
                <m:r>
                  <m:rPr>
                    <m:nor/>
                    <m:sty m:val="p"/>
                  </m:rPr>
                  <w:rPr>
                    <w:rStyle w:val="73"/>
                    <w:rFonts w:ascii="Times New Roman" w:hAnsi="Times New Roman"/>
                    <w:b w:val="0"/>
                    <w:i w:val="0"/>
                    <w:color w:val="000000" w:themeColor="text1"/>
                    <w14:textFill>
                      <w14:solidFill>
                        <w14:schemeClr w14:val="tx1"/>
                      </w14:solidFill>
                    </w14:textFill>
                  </w:rPr>
                  <m:t>6</m:t>
                </m:r>
                <m:ctrlPr>
                  <w:rPr>
                    <w:rStyle w:val="73"/>
                    <w:rFonts w:ascii="Cambria Math" w:hAnsi="Cambria Math"/>
                    <w:i/>
                    <w:color w:val="000000" w:themeColor="text1"/>
                    <w14:textFill>
                      <w14:solidFill>
                        <w14:schemeClr w14:val="tx1"/>
                      </w14:solidFill>
                    </w14:textFill>
                  </w:rPr>
                </m:ctrlPr>
              </m:sub>
            </m:sSub>
            <m:ctrlPr>
              <w:rPr>
                <w:rStyle w:val="73"/>
                <w:rFonts w:ascii="Cambria Math" w:hAnsi="Cambria Math"/>
                <w:i/>
                <w:color w:val="000000" w:themeColor="text1"/>
                <w14:textFill>
                  <w14:solidFill>
                    <w14:schemeClr w14:val="tx1"/>
                  </w14:solidFill>
                </w14:textFill>
              </w:rPr>
            </m:ctrlPr>
          </m:den>
        </m:f>
      </m:oMath>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…………………………………(8)</w:t>
      </w:r>
    </w:p>
    <w:p w14:paraId="7D4507C3">
      <w:pPr>
        <w:autoSpaceDE/>
        <w:autoSpaceDN/>
        <w:ind w:firstLine="630" w:firstLineChars="3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式中：</w:t>
      </w:r>
    </w:p>
    <w:p w14:paraId="5C47CDEE">
      <w:pPr>
        <w:autoSpaceDE/>
        <w:autoSpaceDN/>
        <w:ind w:firstLine="0" w:firstLineChars="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w:r>
        <w:rPr>
          <w:rFonts w:hint="eastAsia" w:ascii="Times New Roman" w:hAnsi="Times New Roman"/>
          <w:i/>
          <w:iCs/>
          <w:color w:val="000000" w:themeColor="text1"/>
          <w14:textFill>
            <w14:solidFill>
              <w14:schemeClr w14:val="tx1"/>
            </w14:solidFill>
          </w14:textFill>
        </w:rPr>
        <w:t>w</w:t>
      </w:r>
      <w:r>
        <w:rPr>
          <w:rFonts w:ascii="Times New Roman" w:hAnsi="Times New Roman"/>
          <w:i/>
          <w:iCs/>
          <w:color w:val="000000" w:themeColor="text1"/>
          <w:vertAlign w:val="subscript"/>
          <w14:textFill>
            <w14:solidFill>
              <w14:schemeClr w14:val="tx1"/>
            </w14:solidFill>
          </w14:textFill>
        </w:rPr>
        <w:t>3</w:t>
      </w:r>
      <w:r>
        <w:rPr>
          <w:rFonts w:ascii="Times New Roman" w:hAnsi="Times New Roman"/>
          <w:color w:val="000000" w:themeColor="text1"/>
          <w14:textFill>
            <w14:solidFill>
              <w14:schemeClr w14:val="tx1"/>
            </w14:solidFill>
          </w14:textFill>
        </w:rPr>
        <w:t xml:space="preserve"> —— 样品中戊唑醇的含量，</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w:t>
      </w:r>
    </w:p>
    <w:p w14:paraId="49B41AAC">
      <w:pPr>
        <w:autoSpaceDE/>
        <w:autoSpaceDN/>
        <w:ind w:firstLine="630" w:firstLineChars="300"/>
        <w:rPr>
          <w:rFonts w:ascii="Times New Roman" w:hAnsi="Times New Roman"/>
          <w:color w:val="000000" w:themeColor="text1"/>
          <w14:textFill>
            <w14:solidFill>
              <w14:schemeClr w14:val="tx1"/>
            </w14:solidFill>
          </w14:textFill>
        </w:rPr>
      </w:pPr>
      <w:r>
        <w:rPr>
          <w:rFonts w:hint="eastAsia" w:ascii="Times New Roman" w:hAnsi="Times New Roman"/>
          <w:i/>
          <w:iCs/>
          <w:color w:val="000000" w:themeColor="text1"/>
          <w14:textFill>
            <w14:solidFill>
              <w14:schemeClr w14:val="tx1"/>
            </w14:solidFill>
          </w14:textFill>
        </w:rPr>
        <w:t>R</w:t>
      </w:r>
      <w:r>
        <w:rPr>
          <w:rFonts w:ascii="Times New Roman" w:hAnsi="Times New Roman"/>
          <w:color w:val="000000" w:themeColor="text1"/>
          <w:vertAlign w:val="subscript"/>
          <w14:textFill>
            <w14:solidFill>
              <w14:schemeClr w14:val="tx1"/>
            </w14:solidFill>
          </w14:textFill>
        </w:rPr>
        <w:t>1</w:t>
      </w:r>
      <w:r>
        <w:rPr>
          <w:rFonts w:ascii="Times New Roman" w:hAnsi="Times New Roman"/>
          <w:color w:val="000000" w:themeColor="text1"/>
          <w14:textFill>
            <w14:solidFill>
              <w14:schemeClr w14:val="tx1"/>
            </w14:solidFill>
          </w14:textFill>
        </w:rPr>
        <w:t xml:space="preserve"> —— 标样溶液中戊唑醇峰面积；</w:t>
      </w:r>
    </w:p>
    <w:p w14:paraId="1D7011F4">
      <w:pPr>
        <w:autoSpaceDE/>
        <w:autoSpaceDN/>
        <w:ind w:firstLine="0" w:firstLineChars="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w:r>
        <w:rPr>
          <w:rFonts w:hint="eastAsia" w:ascii="Times New Roman" w:hAnsi="Times New Roman"/>
          <w:i/>
          <w:iCs/>
          <w:color w:val="000000" w:themeColor="text1"/>
          <w14:textFill>
            <w14:solidFill>
              <w14:schemeClr w14:val="tx1"/>
            </w14:solidFill>
          </w14:textFill>
        </w:rPr>
        <w:t>R</w:t>
      </w:r>
      <w:r>
        <w:rPr>
          <w:rFonts w:ascii="Times New Roman" w:hAnsi="Times New Roman"/>
          <w:color w:val="000000" w:themeColor="text1"/>
          <w:vertAlign w:val="subscript"/>
          <w14:textFill>
            <w14:solidFill>
              <w14:schemeClr w14:val="tx1"/>
            </w14:solidFill>
          </w14:textFill>
        </w:rPr>
        <w:t>2</w:t>
      </w:r>
      <w:r>
        <w:rPr>
          <w:rFonts w:ascii="Times New Roman" w:hAnsi="Times New Roman"/>
          <w:color w:val="000000" w:themeColor="text1"/>
          <w14:textFill>
            <w14:solidFill>
              <w14:schemeClr w14:val="tx1"/>
            </w14:solidFill>
          </w14:textFill>
        </w:rPr>
        <w:t xml:space="preserve"> —— 试样溶液中戊唑醇峰面积；</w:t>
      </w:r>
    </w:p>
    <w:p w14:paraId="6F6D6C78">
      <w:pPr>
        <w:autoSpaceDE/>
        <w:autoSpaceDN/>
        <w:ind w:firstLine="0" w:firstLineChars="0"/>
        <w:rPr>
          <w:rFonts w:ascii="Times New Roman" w:hAnsi="Times New Roman"/>
          <w:color w:val="000000" w:themeColor="text1"/>
          <w:highlight w:val="none"/>
          <w:vertAlign w:val="subscript"/>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highlight w:val="none"/>
          <w14:textFill>
            <w14:solidFill>
              <w14:schemeClr w14:val="tx1"/>
            </w14:solidFill>
          </w14:textFill>
        </w:rPr>
        <w:t xml:space="preserve">     </w:t>
      </w:r>
      <w:r>
        <w:rPr>
          <w:rFonts w:ascii="Times New Roman" w:hAnsi="Times New Roman"/>
          <w:i/>
          <w:iCs/>
          <w:color w:val="000000" w:themeColor="text1"/>
          <w:highlight w:val="none"/>
          <w14:textFill>
            <w14:solidFill>
              <w14:schemeClr w14:val="tx1"/>
            </w14:solidFill>
          </w14:textFill>
        </w:rPr>
        <w:t>m</w:t>
      </w:r>
      <w:r>
        <w:rPr>
          <w:rFonts w:ascii="Times New Roman" w:hAnsi="Times New Roman"/>
          <w:color w:val="000000" w:themeColor="text1"/>
          <w:highlight w:val="none"/>
          <w:vertAlign w:val="subscript"/>
          <w14:textFill>
            <w14:solidFill>
              <w14:schemeClr w14:val="tx1"/>
            </w14:solidFill>
          </w14:textFill>
        </w:rPr>
        <w:t>5</w:t>
      </w:r>
      <w:r>
        <w:rPr>
          <w:rFonts w:ascii="Times New Roman" w:hAnsi="Times New Roman"/>
          <w:color w:val="000000" w:themeColor="text1"/>
          <w:highlight w:val="none"/>
          <w14:textFill>
            <w14:solidFill>
              <w14:schemeClr w14:val="tx1"/>
            </w14:solidFill>
          </w14:textFill>
        </w:rPr>
        <w:t xml:space="preserve"> —— 标样的质量，单位为克（g）；</w:t>
      </w:r>
    </w:p>
    <w:p w14:paraId="53E72596">
      <w:pPr>
        <w:autoSpaceDE/>
        <w:autoSpaceDN/>
        <w:ind w:firstLine="0" w:firstLineChars="0"/>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 xml:space="preserve">      </w:t>
      </w:r>
      <w:r>
        <w:rPr>
          <w:rFonts w:ascii="Times New Roman" w:hAnsi="Times New Roman"/>
          <w:i/>
          <w:iCs/>
          <w:color w:val="000000" w:themeColor="text1"/>
          <w:highlight w:val="none"/>
          <w14:textFill>
            <w14:solidFill>
              <w14:schemeClr w14:val="tx1"/>
            </w14:solidFill>
          </w14:textFill>
        </w:rPr>
        <w:t>m</w:t>
      </w:r>
      <w:r>
        <w:rPr>
          <w:rFonts w:ascii="Times New Roman" w:hAnsi="Times New Roman"/>
          <w:color w:val="000000" w:themeColor="text1"/>
          <w:highlight w:val="none"/>
          <w:vertAlign w:val="subscript"/>
          <w14:textFill>
            <w14:solidFill>
              <w14:schemeClr w14:val="tx1"/>
            </w14:solidFill>
          </w14:textFill>
        </w:rPr>
        <w:t>6</w:t>
      </w:r>
      <w:r>
        <w:rPr>
          <w:rFonts w:ascii="Times New Roman" w:hAnsi="Times New Roman"/>
          <w:color w:val="000000" w:themeColor="text1"/>
          <w:highlight w:val="none"/>
          <w14:textFill>
            <w14:solidFill>
              <w14:schemeClr w14:val="tx1"/>
            </w14:solidFill>
          </w14:textFill>
        </w:rPr>
        <w:t xml:space="preserve"> —— 试样的质量，单位为克（g）；</w:t>
      </w:r>
    </w:p>
    <w:p w14:paraId="6599DE35">
      <w:pPr>
        <w:autoSpaceDE/>
        <w:autoSpaceDN/>
        <w:ind w:firstLine="0" w:firstLineChars="0"/>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 xml:space="preserve">      </w:t>
      </w:r>
      <w:r>
        <w:rPr>
          <w:rFonts w:ascii="Times New Roman" w:hAnsi="Times New Roman"/>
          <w:i/>
          <w:iCs/>
          <w:color w:val="000000" w:themeColor="text1"/>
          <w:highlight w:val="none"/>
          <w14:textFill>
            <w14:solidFill>
              <w14:schemeClr w14:val="tx1"/>
            </w14:solidFill>
          </w14:textFill>
        </w:rPr>
        <w:t>p</w:t>
      </w:r>
      <w:r>
        <w:rPr>
          <w:rFonts w:ascii="Times New Roman" w:hAnsi="Times New Roman"/>
          <w:color w:val="000000" w:themeColor="text1"/>
          <w:highlight w:val="none"/>
          <w14:textFill>
            <w14:solidFill>
              <w14:schemeClr w14:val="tx1"/>
            </w14:solidFill>
          </w14:textFill>
        </w:rPr>
        <w:t xml:space="preserve"> ——</w:t>
      </w:r>
      <w:r>
        <w:rPr>
          <w:rFonts w:hint="eastAsia" w:ascii="Times New Roman" w:hAnsi="Times New Roman"/>
          <w:color w:val="000000" w:themeColor="text1"/>
          <w:highlight w:val="none"/>
          <w14:textFill>
            <w14:solidFill>
              <w14:schemeClr w14:val="tx1"/>
            </w14:solidFill>
          </w14:textFill>
        </w:rPr>
        <w:t xml:space="preserve">  </w:t>
      </w:r>
      <w:r>
        <w:rPr>
          <w:rFonts w:ascii="Times New Roman" w:hAnsi="Times New Roman"/>
          <w:color w:val="000000" w:themeColor="text1"/>
          <w:highlight w:val="none"/>
          <w14:textFill>
            <w14:solidFill>
              <w14:schemeClr w14:val="tx1"/>
            </w14:solidFill>
          </w14:textFill>
        </w:rPr>
        <w:t>标样中戊唑醇的质量分数，</w:t>
      </w:r>
      <w:r>
        <w:rPr>
          <w:rFonts w:hint="eastAsia" w:ascii="Times New Roman" w:hAnsi="Times New Roman"/>
          <w:color w:val="000000" w:themeColor="text1"/>
          <w:highlight w:val="none"/>
          <w14:textFill>
            <w14:solidFill>
              <w14:schemeClr w14:val="tx1"/>
            </w14:solidFill>
          </w14:textFill>
        </w:rPr>
        <w:t>%</w:t>
      </w:r>
      <w:r>
        <w:rPr>
          <w:rFonts w:ascii="Times New Roman" w:hAnsi="Times New Roman"/>
          <w:color w:val="000000" w:themeColor="text1"/>
          <w:highlight w:val="none"/>
          <w14:textFill>
            <w14:solidFill>
              <w14:schemeClr w14:val="tx1"/>
            </w14:solidFill>
          </w14:textFill>
        </w:rPr>
        <w:t>。</w:t>
      </w:r>
    </w:p>
    <w:p w14:paraId="5AEE749D">
      <w:pPr>
        <w:pStyle w:val="53"/>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6.</w:t>
      </w: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5.2液质联用法</w:t>
      </w:r>
    </w:p>
    <w:p w14:paraId="08FC9151">
      <w:pPr>
        <w:pStyle w:val="65"/>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按JC/T </w:t>
      </w:r>
      <w:r>
        <w:rPr>
          <w:rFonts w:ascii="Times New Roman" w:hAnsi="Times New Roman" w:cs="Times New Roman"/>
          <w:color w:val="000000" w:themeColor="text1"/>
          <w14:textFill>
            <w14:solidFill>
              <w14:schemeClr w14:val="tx1"/>
            </w14:solidFill>
          </w14:textFill>
        </w:rPr>
        <w:t>3103</w:t>
      </w:r>
      <w:r>
        <w:rPr>
          <w:rFonts w:hint="eastAsia" w:ascii="Times New Roman" w:hAnsi="Times New Roman" w:cs="Times New Roman"/>
          <w:color w:val="000000" w:themeColor="text1"/>
          <w14:textFill>
            <w14:solidFill>
              <w14:schemeClr w14:val="tx1"/>
            </w14:solidFill>
          </w14:textFill>
        </w:rPr>
        <w:t>-20</w:t>
      </w:r>
      <w:r>
        <w:rPr>
          <w:rFonts w:ascii="Times New Roman" w:hAnsi="Times New Roman" w:cs="Times New Roman"/>
          <w:color w:val="000000" w:themeColor="text1"/>
          <w14:textFill>
            <w14:solidFill>
              <w14:schemeClr w14:val="tx1"/>
            </w14:solidFill>
          </w14:textFill>
        </w:rPr>
        <w:t>26</w:t>
      </w:r>
      <w:r>
        <w:rPr>
          <w:rFonts w:hint="eastAsia" w:ascii="Times New Roman" w:hAnsi="Times New Roman" w:cs="Times New Roman"/>
          <w:color w:val="000000" w:themeColor="text1"/>
          <w:lang w:val="en-US" w:eastAsia="zh-CN"/>
          <w14:textFill>
            <w14:solidFill>
              <w14:schemeClr w14:val="tx1"/>
            </w14:solidFill>
          </w14:textFill>
        </w:rPr>
        <w:t>中11.1</w:t>
      </w:r>
      <w:r>
        <w:rPr>
          <w:rFonts w:hint="eastAsia" w:ascii="Times New Roman" w:hAnsi="Times New Roman" w:cs="Times New Roman"/>
          <w:color w:val="000000" w:themeColor="text1"/>
          <w14:textFill>
            <w14:solidFill>
              <w14:schemeClr w14:val="tx1"/>
            </w14:solidFill>
          </w14:textFill>
        </w:rPr>
        <w:t>进行</w:t>
      </w:r>
      <w:r>
        <w:rPr>
          <w:rFonts w:ascii="Times New Roman" w:hAnsi="Times New Roman" w:cs="Times New Roman"/>
          <w:color w:val="000000" w:themeColor="text1"/>
          <w14:textFill>
            <w14:solidFill>
              <w14:schemeClr w14:val="tx1"/>
            </w14:solidFill>
          </w14:textFill>
        </w:rPr>
        <w:t>。</w:t>
      </w:r>
    </w:p>
    <w:p w14:paraId="5C5F8194">
      <w:pPr>
        <w:pStyle w:val="53"/>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pH值的测定</w:t>
      </w:r>
    </w:p>
    <w:p w14:paraId="56FAEA99">
      <w:pPr>
        <w:pStyle w:val="65"/>
        <w:ind w:firstLine="420"/>
        <w:rPr>
          <w:rFonts w:ascii="Times New Roman" w:hAnsi="Times New Roman" w:cs="Times New Roman"/>
          <w:color w:val="000000" w:themeColor="text1"/>
          <w14:textFill>
            <w14:solidFill>
              <w14:schemeClr w14:val="tx1"/>
            </w14:solidFill>
          </w14:textFill>
        </w:rPr>
      </w:pPr>
      <w:bookmarkStart w:id="8" w:name="_Toc166487621"/>
      <w:bookmarkStart w:id="9" w:name="_Toc164148540"/>
      <w:r>
        <w:rPr>
          <w:rFonts w:ascii="Times New Roman" w:hAnsi="Times New Roman" w:cs="Times New Roman"/>
          <w:color w:val="000000" w:themeColor="text1"/>
          <w14:textFill>
            <w14:solidFill>
              <w14:schemeClr w14:val="tx1"/>
            </w14:solidFill>
          </w14:textFill>
        </w:rPr>
        <w:t>用水</w:t>
      </w:r>
      <w:r>
        <w:rPr>
          <w:rFonts w:hint="eastAsia" w:ascii="Times New Roman" w:hAnsi="Times New Roman" w:cs="Times New Roman"/>
          <w:color w:val="000000" w:themeColor="text1"/>
          <w14:textFill>
            <w14:solidFill>
              <w14:schemeClr w14:val="tx1"/>
            </w14:solidFill>
          </w14:textFill>
        </w:rPr>
        <w:t>将 CBA-A防腐剂</w:t>
      </w:r>
      <w:r>
        <w:rPr>
          <w:rFonts w:ascii="Times New Roman" w:hAnsi="Times New Roman" w:cs="Times New Roman"/>
          <w:color w:val="000000" w:themeColor="text1"/>
          <w14:textFill>
            <w14:solidFill>
              <w14:schemeClr w14:val="tx1"/>
            </w14:solidFill>
          </w14:textFill>
        </w:rPr>
        <w:t>稀释</w:t>
      </w:r>
      <w:r>
        <w:rPr>
          <w:rFonts w:hint="eastAsia" w:ascii="Times New Roman" w:hAnsi="Times New Roman" w:cs="Times New Roman"/>
          <w:color w:val="000000" w:themeColor="text1"/>
          <w14:textFill>
            <w14:solidFill>
              <w14:schemeClr w14:val="tx1"/>
            </w14:solidFill>
          </w14:textFill>
        </w:rPr>
        <w:t>至</w:t>
      </w:r>
      <w:r>
        <w:rPr>
          <w:rFonts w:ascii="Times New Roman" w:hAnsi="Times New Roman" w:cs="Times New Roman"/>
          <w:color w:val="000000" w:themeColor="text1"/>
          <w14:textFill>
            <w14:solidFill>
              <w14:schemeClr w14:val="tx1"/>
            </w14:solidFill>
          </w14:textFill>
        </w:rPr>
        <w:t>有效成分</w:t>
      </w:r>
      <w:r>
        <w:rPr>
          <w:rFonts w:hint="eastAsia" w:ascii="Times New Roman" w:hAnsi="Times New Roman" w:cs="Times New Roman"/>
          <w:color w:val="000000" w:themeColor="text1"/>
          <w14:textFill>
            <w14:solidFill>
              <w14:schemeClr w14:val="tx1"/>
            </w14:solidFill>
          </w14:textFill>
        </w:rPr>
        <w:t>为</w:t>
      </w:r>
      <w:r>
        <w:rPr>
          <w:rFonts w:ascii="Times New Roman" w:hAnsi="Times New Roman" w:cs="Times New Roman"/>
          <w:color w:val="000000" w:themeColor="text1"/>
          <w14:textFill>
            <w14:solidFill>
              <w14:schemeClr w14:val="tx1"/>
            </w14:solidFill>
          </w14:textFill>
        </w:rPr>
        <w:t>2</w:t>
      </w:r>
      <w:r>
        <w:rPr>
          <w:rFonts w:hint="eastAsia"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14:textFill>
            <w14:solidFill>
              <w14:schemeClr w14:val="tx1"/>
            </w14:solidFill>
          </w14:textFill>
        </w:rPr>
        <w:t>的溶液</w:t>
      </w:r>
      <w:r>
        <w:rPr>
          <w:rFonts w:hint="eastAsia" w:ascii="Times New Roman" w:hAnsi="Times New Roman" w:cs="Times New Roman"/>
          <w:color w:val="000000" w:themeColor="text1"/>
          <w14:textFill>
            <w14:solidFill>
              <w14:schemeClr w14:val="tx1"/>
            </w14:solidFill>
          </w14:textFill>
        </w:rPr>
        <w:t>后</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按GB/T 9724进</w:t>
      </w:r>
      <w:r>
        <w:rPr>
          <w:rFonts w:ascii="Times New Roman" w:hAnsi="Times New Roman" w:cs="Times New Roman"/>
          <w:color w:val="000000" w:themeColor="text1"/>
          <w14:textFill>
            <w14:solidFill>
              <w14:schemeClr w14:val="tx1"/>
            </w14:solidFill>
          </w14:textFill>
        </w:rPr>
        <w:t>行。</w:t>
      </w:r>
    </w:p>
    <w:p w14:paraId="7306D5A2">
      <w:pPr>
        <w:pStyle w:val="5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检验规则</w:t>
      </w:r>
    </w:p>
    <w:p w14:paraId="683E90D3">
      <w:pPr>
        <w:pStyle w:val="53"/>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出厂检验</w:t>
      </w:r>
    </w:p>
    <w:p w14:paraId="4346DAED">
      <w:pPr>
        <w:pStyle w:val="65"/>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出厂</w:t>
      </w:r>
      <w:r>
        <w:rPr>
          <w:rFonts w:ascii="Times New Roman" w:hAnsi="Times New Roman" w:cs="Times New Roman"/>
          <w:color w:val="000000" w:themeColor="text1"/>
          <w14:textFill>
            <w14:solidFill>
              <w14:schemeClr w14:val="tx1"/>
            </w14:solidFill>
          </w14:textFill>
        </w:rPr>
        <w:t>检验项目包括</w:t>
      </w:r>
      <w:r>
        <w:rPr>
          <w:rFonts w:hint="eastAsia" w:ascii="Times New Roman" w:hAnsi="Times New Roman" w:cs="Times New Roman"/>
          <w:color w:val="000000" w:themeColor="text1"/>
          <w14:textFill>
            <w14:solidFill>
              <w14:schemeClr w14:val="tx1"/>
            </w14:solidFill>
          </w14:textFill>
        </w:rPr>
        <w:t>外观、有效成分总含量、pH值。</w:t>
      </w:r>
    </w:p>
    <w:p w14:paraId="10497BA2">
      <w:pPr>
        <w:pStyle w:val="53"/>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型式检验 </w:t>
      </w:r>
    </w:p>
    <w:p w14:paraId="6E18BEE7">
      <w:pPr>
        <w:pStyle w:val="65"/>
        <w:ind w:firstLine="0" w:firstLineChars="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7</w:t>
      </w:r>
      <w:r>
        <w:rPr>
          <w:rFonts w:hint="eastAsia" w:ascii="Times New Roman" w:hAnsi="Times New Roman" w:cs="Times New Roman"/>
          <w:color w:val="000000" w:themeColor="text1"/>
          <w14:textFill>
            <w14:solidFill>
              <w14:schemeClr w14:val="tx1"/>
            </w14:solidFill>
          </w14:textFill>
        </w:rPr>
        <w:t xml:space="preserve">.2.1 </w:t>
      </w:r>
      <w:r>
        <w:rPr>
          <w:rFonts w:ascii="Times New Roman" w:hAnsi="Times New Roman" w:cs="Times New Roman"/>
          <w:color w:val="000000" w:themeColor="text1"/>
          <w14:textFill>
            <w14:solidFill>
              <w14:schemeClr w14:val="tx1"/>
            </w14:solidFill>
          </w14:textFill>
        </w:rPr>
        <w:t>型式检验项目包括</w:t>
      </w:r>
      <w:r>
        <w:rPr>
          <w:rFonts w:hint="eastAsia" w:ascii="Times New Roman" w:hAnsi="Times New Roman" w:cs="Times New Roman"/>
          <w:color w:val="000000" w:themeColor="text1"/>
          <w14:textFill>
            <w14:solidFill>
              <w14:schemeClr w14:val="tx1"/>
            </w14:solidFill>
          </w14:textFill>
        </w:rPr>
        <w:t>外观、有效成分总含量、各有效成分相对比例、pH值。</w:t>
      </w:r>
      <w:r>
        <w:rPr>
          <w:rFonts w:ascii="Times New Roman" w:hAnsi="Times New Roman" w:cs="Times New Roman"/>
          <w:color w:val="000000" w:themeColor="text1"/>
          <w14:textFill>
            <w14:solidFill>
              <w14:schemeClr w14:val="tx1"/>
            </w14:solidFill>
          </w14:textFill>
        </w:rPr>
        <w:t>有下列情况之一时，应进行型式检验</w:t>
      </w:r>
      <w:r>
        <w:rPr>
          <w:rFonts w:hint="eastAsia" w:ascii="Times New Roman" w:hAnsi="Times New Roman" w:cs="Times New Roman"/>
          <w:color w:val="000000" w:themeColor="text1"/>
          <w14:textFill>
            <w14:solidFill>
              <w14:schemeClr w14:val="tx1"/>
            </w14:solidFill>
          </w14:textFill>
        </w:rPr>
        <w:t>：</w:t>
      </w:r>
    </w:p>
    <w:p w14:paraId="165B85D3">
      <w:pPr>
        <w:numPr>
          <w:ilvl w:val="0"/>
          <w:numId w:val="15"/>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新产品投产或产品定型鉴定时</w:t>
      </w:r>
      <w:r>
        <w:rPr>
          <w:rFonts w:hint="default" w:ascii="Times New Roman" w:hAnsi="Times New Roman"/>
          <w:color w:val="000000" w:themeColor="text1"/>
          <w14:textFill>
            <w14:solidFill>
              <w14:schemeClr w14:val="tx1"/>
            </w14:solidFill>
          </w14:textFill>
        </w:rPr>
        <w:t>；</w:t>
      </w:r>
    </w:p>
    <w:p w14:paraId="0517A47E">
      <w:pPr>
        <w:numPr>
          <w:ilvl w:val="0"/>
          <w:numId w:val="15"/>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连续生产的产品，每年检测一次</w:t>
      </w:r>
      <w:r>
        <w:rPr>
          <w:rFonts w:hint="default" w:ascii="Times New Roman" w:hAnsi="Times New Roman"/>
          <w:color w:val="000000" w:themeColor="text1"/>
          <w14:textFill>
            <w14:solidFill>
              <w14:schemeClr w14:val="tx1"/>
            </w14:solidFill>
          </w14:textFill>
        </w:rPr>
        <w:t>；</w:t>
      </w:r>
    </w:p>
    <w:p w14:paraId="770E2460">
      <w:pPr>
        <w:numPr>
          <w:ilvl w:val="0"/>
          <w:numId w:val="15"/>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原材料或工艺有较大改变，可能影响产品的性能时</w:t>
      </w:r>
      <w:r>
        <w:rPr>
          <w:rFonts w:hint="default" w:ascii="Times New Roman" w:hAnsi="Times New Roman"/>
          <w:color w:val="000000" w:themeColor="text1"/>
          <w14:textFill>
            <w14:solidFill>
              <w14:schemeClr w14:val="tx1"/>
            </w14:solidFill>
          </w14:textFill>
        </w:rPr>
        <w:t>；</w:t>
      </w:r>
    </w:p>
    <w:p w14:paraId="74967653">
      <w:pPr>
        <w:numPr>
          <w:ilvl w:val="0"/>
          <w:numId w:val="15"/>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产品长期停产恢复生产时</w:t>
      </w:r>
      <w:r>
        <w:rPr>
          <w:rFonts w:hint="default" w:ascii="Times New Roman" w:hAnsi="Times New Roman"/>
          <w:color w:val="000000" w:themeColor="text1"/>
          <w14:textFill>
            <w14:solidFill>
              <w14:schemeClr w14:val="tx1"/>
            </w14:solidFill>
          </w14:textFill>
        </w:rPr>
        <w:t>；</w:t>
      </w:r>
    </w:p>
    <w:p w14:paraId="4B464D4E">
      <w:pPr>
        <w:numPr>
          <w:ilvl w:val="0"/>
          <w:numId w:val="15"/>
        </w:numPr>
        <w:autoSpaceDE/>
        <w:autoSpaceDN/>
        <w:ind w:firstLineChars="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出厂检验结果与上次型式检验结果有较大差异时。</w:t>
      </w:r>
    </w:p>
    <w:p w14:paraId="63108C9D">
      <w:pPr>
        <w:pStyle w:val="86"/>
        <w:numPr>
          <w:ilvl w:val="0"/>
          <w:numId w:val="0"/>
        </w:numPr>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7</w:t>
      </w:r>
      <w:r>
        <w:rPr>
          <w:rFonts w:hint="eastAsia" w:ascii="Times New Roman"/>
          <w:color w:val="000000" w:themeColor="text1"/>
          <w14:textFill>
            <w14:solidFill>
              <w14:schemeClr w14:val="tx1"/>
            </w14:solidFill>
          </w14:textFill>
        </w:rPr>
        <w:t xml:space="preserve">.2.2 </w:t>
      </w:r>
      <w:r>
        <w:rPr>
          <w:rFonts w:ascii="Times New Roman"/>
          <w:color w:val="000000" w:themeColor="text1"/>
          <w14:textFill>
            <w14:solidFill>
              <w14:schemeClr w14:val="tx1"/>
            </w14:solidFill>
          </w14:textFill>
        </w:rPr>
        <w:t>用作型式检验的产品应从出厂检验合格的产品中抽取。若抽检产品中出现不合格项目，应双倍抽样复检，如仍不合格</w:t>
      </w:r>
      <w:r>
        <w:rPr>
          <w:rFonts w:hint="eastAsia" w:ascii="Times New Roman"/>
          <w:color w:val="000000" w:themeColor="text1"/>
          <w14:textFill>
            <w14:solidFill>
              <w14:schemeClr w14:val="tx1"/>
            </w14:solidFill>
          </w14:textFill>
        </w:rPr>
        <w:t>，</w:t>
      </w:r>
      <w:r>
        <w:rPr>
          <w:rFonts w:ascii="Times New Roman"/>
          <w:color w:val="000000" w:themeColor="text1"/>
          <w14:textFill>
            <w14:solidFill>
              <w14:schemeClr w14:val="tx1"/>
            </w14:solidFill>
          </w14:textFill>
        </w:rPr>
        <w:t>则判该批产品为不合格。</w:t>
      </w:r>
    </w:p>
    <w:p w14:paraId="0CEF56BA">
      <w:pPr>
        <w:pStyle w:val="53"/>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取样和组批</w:t>
      </w:r>
    </w:p>
    <w:p w14:paraId="54DEE26E">
      <w:pPr>
        <w:pStyle w:val="65"/>
        <w:ind w:firstLine="420"/>
        <w:rPr>
          <w:rFonts w:ascii="Times New Roman" w:hAnsi="Times New Roman" w:cs="Times New Roman"/>
          <w:color w:val="000000" w:themeColor="text1"/>
          <w:highlight w:val="none"/>
          <w14:textFill>
            <w14:solidFill>
              <w14:schemeClr w14:val="tx1"/>
            </w14:solidFill>
          </w14:textFill>
        </w:rPr>
      </w:pPr>
      <w:r>
        <w:rPr>
          <w:rFonts w:hint="eastAsia" w:ascii="Times New Roman" w:hAnsi="Times New Roman" w:cs="Times New Roman"/>
          <w:color w:val="000000" w:themeColor="text1"/>
          <w:highlight w:val="none"/>
          <w14:textFill>
            <w14:solidFill>
              <w14:schemeClr w14:val="tx1"/>
            </w14:solidFill>
          </w14:textFill>
        </w:rPr>
        <w:t xml:space="preserve">按JC/T </w:t>
      </w:r>
      <w:r>
        <w:rPr>
          <w:rFonts w:ascii="Times New Roman" w:hAnsi="Times New Roman" w:cs="Times New Roman"/>
          <w:color w:val="000000" w:themeColor="text1"/>
          <w:highlight w:val="none"/>
          <w14:textFill>
            <w14:solidFill>
              <w14:schemeClr w14:val="tx1"/>
            </w14:solidFill>
          </w14:textFill>
        </w:rPr>
        <w:t>3101</w:t>
      </w:r>
      <w:r>
        <w:rPr>
          <w:rFonts w:hint="eastAsia" w:ascii="Times New Roman" w:hAnsi="Times New Roman" w:cs="Times New Roman"/>
          <w:color w:val="000000" w:themeColor="text1"/>
          <w:highlight w:val="none"/>
          <w14:textFill>
            <w14:solidFill>
              <w14:schemeClr w14:val="tx1"/>
            </w14:solidFill>
          </w14:textFill>
        </w:rPr>
        <w:t>-20</w:t>
      </w:r>
      <w:r>
        <w:rPr>
          <w:rFonts w:ascii="Times New Roman" w:hAnsi="Times New Roman" w:cs="Times New Roman"/>
          <w:color w:val="000000" w:themeColor="text1"/>
          <w:highlight w:val="none"/>
          <w14:textFill>
            <w14:solidFill>
              <w14:schemeClr w14:val="tx1"/>
            </w14:solidFill>
          </w14:textFill>
        </w:rPr>
        <w:t>26</w:t>
      </w:r>
      <w:r>
        <w:rPr>
          <w:rFonts w:hint="eastAsia" w:ascii="Times New Roman" w:hAnsi="Times New Roman" w:cs="Times New Roman"/>
          <w:color w:val="000000" w:themeColor="text1"/>
          <w:highlight w:val="none"/>
          <w14:textFill>
            <w14:solidFill>
              <w14:schemeClr w14:val="tx1"/>
            </w14:solidFill>
          </w14:textFill>
        </w:rPr>
        <w:t>进行</w:t>
      </w:r>
      <w:r>
        <w:rPr>
          <w:rFonts w:ascii="Times New Roman" w:hAnsi="Times New Roman" w:cs="Times New Roman"/>
          <w:color w:val="000000" w:themeColor="text1"/>
          <w:highlight w:val="none"/>
          <w14:textFill>
            <w14:solidFill>
              <w14:schemeClr w14:val="tx1"/>
            </w14:solidFill>
          </w14:textFill>
        </w:rPr>
        <w:t>。</w:t>
      </w:r>
    </w:p>
    <w:p w14:paraId="05A16D08">
      <w:pPr>
        <w:pStyle w:val="53"/>
        <w:rPr>
          <w:rFonts w:ascii="Times New Roman" w:hAnsi="Times New Roman"/>
          <w:color w:val="000000" w:themeColor="text1"/>
          <w:highlight w:val="none"/>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判定规则</w:t>
      </w:r>
    </w:p>
    <w:p w14:paraId="1CE081EF">
      <w:pPr>
        <w:pStyle w:val="53"/>
        <w:numPr>
          <w:ilvl w:val="255"/>
          <w:numId w:val="0"/>
        </w:numPr>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7.4.1单项判定</w:t>
      </w:r>
    </w:p>
    <w:p w14:paraId="6BE55FE0">
      <w:pPr>
        <w:pStyle w:val="86"/>
        <w:numPr>
          <w:ilvl w:val="0"/>
          <w:numId w:val="0"/>
        </w:numPr>
        <w:ind w:firstLine="420" w:firstLineChars="200"/>
        <w:rPr>
          <w:rFonts w:ascii="Times New Roman"/>
          <w:color w:val="000000" w:themeColor="text1"/>
          <w:highlight w:val="none"/>
          <w14:textFill>
            <w14:solidFill>
              <w14:schemeClr w14:val="tx1"/>
            </w14:solidFill>
          </w14:textFill>
        </w:rPr>
      </w:pPr>
      <w:r>
        <w:rPr>
          <w:rFonts w:ascii="Times New Roman"/>
          <w:color w:val="000000" w:themeColor="text1"/>
          <w:highlight w:val="none"/>
          <w14:textFill>
            <w14:solidFill>
              <w14:schemeClr w14:val="tx1"/>
            </w14:solidFill>
          </w14:textFill>
        </w:rPr>
        <w:t>外观符合5.1的要求判定该项合格。有效成分总含量符合5.2的要求判定该项合格。有效成分比例符合5.2的要求判定该项合格。pH值符合5.3的要求判定该项合格。</w:t>
      </w:r>
    </w:p>
    <w:p w14:paraId="599BFB1A">
      <w:pPr>
        <w:pStyle w:val="53"/>
        <w:numPr>
          <w:ilvl w:val="255"/>
          <w:numId w:val="0"/>
        </w:numP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kern w:val="2"/>
          <w:szCs w:val="21"/>
          <w:highlight w:val="none"/>
          <w14:textFill>
            <w14:solidFill>
              <w14:schemeClr w14:val="tx1"/>
            </w14:solidFill>
          </w14:textFill>
        </w:rPr>
        <w:t>7</w:t>
      </w:r>
      <w:r>
        <w:rPr>
          <w:rFonts w:hint="eastAsia" w:ascii="Times New Roman" w:hAnsi="Times New Roman" w:eastAsia="宋体"/>
          <w:color w:val="000000" w:themeColor="text1"/>
          <w:kern w:val="2"/>
          <w:szCs w:val="21"/>
          <w:highlight w:val="none"/>
          <w14:textFill>
            <w14:solidFill>
              <w14:schemeClr w14:val="tx1"/>
            </w14:solidFill>
          </w14:textFill>
        </w:rPr>
        <w:t>.</w:t>
      </w:r>
      <w:r>
        <w:rPr>
          <w:rFonts w:ascii="Times New Roman" w:hAnsi="Times New Roman" w:eastAsia="宋体"/>
          <w:color w:val="000000" w:themeColor="text1"/>
          <w:kern w:val="2"/>
          <w:szCs w:val="21"/>
          <w:highlight w:val="none"/>
          <w14:textFill>
            <w14:solidFill>
              <w14:schemeClr w14:val="tx1"/>
            </w14:solidFill>
          </w14:textFill>
        </w:rPr>
        <w:t xml:space="preserve">4.2 </w:t>
      </w:r>
      <w:r>
        <w:rPr>
          <w:rFonts w:hint="eastAsia" w:ascii="Times New Roman" w:hAnsi="Times New Roman" w:eastAsia="宋体"/>
          <w:color w:val="000000" w:themeColor="text1"/>
          <w:szCs w:val="21"/>
          <w:highlight w:val="none"/>
          <w14:textFill>
            <w14:solidFill>
              <w14:schemeClr w14:val="tx1"/>
            </w14:solidFill>
          </w14:textFill>
        </w:rPr>
        <w:t>批的判定</w:t>
      </w:r>
    </w:p>
    <w:p w14:paraId="4FFCEF7C">
      <w:pPr>
        <w:pStyle w:val="86"/>
        <w:numPr>
          <w:ilvl w:val="0"/>
          <w:numId w:val="0"/>
        </w:numPr>
        <w:ind w:firstLine="420" w:firstLineChars="200"/>
        <w:rPr>
          <w:rFonts w:ascii="Times New Roman" w:hAnsi="Times New Roman"/>
          <w:color w:val="000000" w:themeColor="text1"/>
          <w:highlight w:val="none"/>
          <w14:textFill>
            <w14:solidFill>
              <w14:schemeClr w14:val="tx1"/>
            </w14:solidFill>
          </w14:textFill>
        </w:rPr>
      </w:pPr>
      <w:r>
        <w:rPr>
          <w:rFonts w:hint="eastAsia" w:ascii="Times New Roman"/>
          <w:color w:val="000000" w:themeColor="text1"/>
          <w:highlight w:val="none"/>
          <w14:textFill>
            <w14:solidFill>
              <w14:schemeClr w14:val="tx1"/>
            </w14:solidFill>
          </w14:textFill>
        </w:rPr>
        <w:t>所有检验项目中，外观、有效成分总含量和比例、</w:t>
      </w:r>
      <w:r>
        <w:rPr>
          <w:rFonts w:ascii="Times New Roman"/>
          <w:color w:val="000000" w:themeColor="text1"/>
          <w:highlight w:val="none"/>
          <w14:textFill>
            <w14:solidFill>
              <w14:schemeClr w14:val="tx1"/>
            </w14:solidFill>
          </w14:textFill>
        </w:rPr>
        <w:t>pH值均符合要求，判定批合格，有一项或多项不符合则判定为不合格。</w:t>
      </w:r>
    </w:p>
    <w:p w14:paraId="357C3620">
      <w:pPr>
        <w:pStyle w:val="58"/>
        <w:tabs>
          <w:tab w:val="clear" w:pos="0"/>
        </w:tabs>
        <w:spacing w:before="312" w:after="312"/>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8</w:t>
      </w:r>
      <w:r>
        <w:rPr>
          <w:rFonts w:hint="eastAsia" w:ascii="Times New Roman" w:hAnsi="Times New Roman"/>
          <w:color w:val="000000" w:themeColor="text1"/>
          <w:highlight w:val="none"/>
          <w14:textFill>
            <w14:solidFill>
              <w14:schemeClr w14:val="tx1"/>
            </w14:solidFill>
          </w14:textFill>
        </w:rPr>
        <w:t xml:space="preserve"> 标志、包装、运输和贮存</w:t>
      </w:r>
    </w:p>
    <w:p w14:paraId="79352770">
      <w:pPr>
        <w:pStyle w:val="63"/>
        <w:spacing w:before="156" w:beforeLines="50" w:after="156" w:afterLines="50"/>
        <w:rPr>
          <w:rFonts w:ascii="Times New Roman" w:eastAsia="宋体" w:cs="Times New Roman"/>
          <w:color w:val="000000" w:themeColor="text1"/>
          <w14:textFill>
            <w14:solidFill>
              <w14:schemeClr w14:val="tx1"/>
            </w14:solidFill>
          </w14:textFill>
        </w:rPr>
      </w:pPr>
      <w:r>
        <w:rPr>
          <w:rFonts w:ascii="Times New Roman" w:eastAsia="宋体" w:cs="Times New Roman"/>
          <w:color w:val="000000" w:themeColor="text1"/>
          <w14:textFill>
            <w14:solidFill>
              <w14:schemeClr w14:val="tx1"/>
            </w14:solidFill>
          </w14:textFill>
        </w:rPr>
        <w:t xml:space="preserve">8.1 </w:t>
      </w:r>
      <w:r>
        <w:rPr>
          <w:rFonts w:hint="eastAsia" w:ascii="Times New Roman" w:eastAsia="宋体" w:cs="Times New Roman"/>
          <w:color w:val="000000" w:themeColor="text1"/>
          <w14:textFill>
            <w14:solidFill>
              <w14:schemeClr w14:val="tx1"/>
            </w14:solidFill>
          </w14:textFill>
        </w:rPr>
        <w:t>标志</w:t>
      </w:r>
    </w:p>
    <w:p w14:paraId="0736EE46">
      <w:pPr>
        <w:pStyle w:val="65"/>
        <w:ind w:firstLine="42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产品包装上应印刷或粘贴牢固的标志，应至少包括以下内容：</w:t>
      </w:r>
    </w:p>
    <w:p w14:paraId="615FAD33">
      <w:pPr>
        <w:numPr>
          <w:ilvl w:val="0"/>
          <w:numId w:val="16"/>
        </w:numPr>
        <w:ind w:firstLineChars="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企业名称；</w:t>
      </w:r>
    </w:p>
    <w:p w14:paraId="2E845917">
      <w:pPr>
        <w:numPr>
          <w:ilvl w:val="0"/>
          <w:numId w:val="16"/>
        </w:numPr>
        <w:ind w:firstLineChars="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厂址；</w:t>
      </w:r>
    </w:p>
    <w:p w14:paraId="265A9FD9">
      <w:pPr>
        <w:numPr>
          <w:ilvl w:val="0"/>
          <w:numId w:val="16"/>
        </w:numPr>
        <w:ind w:firstLineChars="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产品名称；</w:t>
      </w:r>
    </w:p>
    <w:p w14:paraId="7DB30F29">
      <w:pPr>
        <w:numPr>
          <w:ilvl w:val="0"/>
          <w:numId w:val="16"/>
        </w:numPr>
        <w:ind w:firstLineChars="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产品型号；</w:t>
      </w:r>
    </w:p>
    <w:p w14:paraId="59599519">
      <w:pPr>
        <w:numPr>
          <w:ilvl w:val="0"/>
          <w:numId w:val="16"/>
        </w:numPr>
        <w:ind w:firstLineChars="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有效成分含量；</w:t>
      </w:r>
    </w:p>
    <w:p w14:paraId="5CB9CE00">
      <w:pPr>
        <w:numPr>
          <w:ilvl w:val="0"/>
          <w:numId w:val="16"/>
        </w:numPr>
        <w:ind w:firstLineChars="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净重；</w:t>
      </w:r>
    </w:p>
    <w:p w14:paraId="5F20C1BF">
      <w:pPr>
        <w:numPr>
          <w:ilvl w:val="0"/>
          <w:numId w:val="16"/>
        </w:numPr>
        <w:ind w:firstLineChars="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生产日期；</w:t>
      </w:r>
    </w:p>
    <w:p w14:paraId="06B59DDF">
      <w:pPr>
        <w:numPr>
          <w:ilvl w:val="0"/>
          <w:numId w:val="16"/>
        </w:numPr>
        <w:ind w:firstLineChars="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生产批号；</w:t>
      </w:r>
    </w:p>
    <w:p w14:paraId="0076338E">
      <w:pPr>
        <w:numPr>
          <w:ilvl w:val="0"/>
          <w:numId w:val="16"/>
        </w:numPr>
        <w:ind w:firstLineChars="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产品执行标准号；</w:t>
      </w:r>
    </w:p>
    <w:p w14:paraId="51A48343">
      <w:pPr>
        <w:numPr>
          <w:ilvl w:val="0"/>
          <w:numId w:val="16"/>
        </w:numPr>
        <w:ind w:firstLineChars="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产品简要说明。</w:t>
      </w:r>
    </w:p>
    <w:p w14:paraId="2F4C6F6B">
      <w:pPr>
        <w:pStyle w:val="63"/>
        <w:spacing w:before="156" w:beforeLines="50" w:after="156" w:afterLines="50"/>
        <w:rPr>
          <w:rFonts w:ascii="Times New Roman" w:eastAsia="宋体" w:cs="Times New Roman"/>
          <w:color w:val="000000" w:themeColor="text1"/>
          <w14:textFill>
            <w14:solidFill>
              <w14:schemeClr w14:val="tx1"/>
            </w14:solidFill>
          </w14:textFill>
        </w:rPr>
      </w:pPr>
      <w:r>
        <w:rPr>
          <w:rFonts w:hint="eastAsia" w:ascii="Times New Roman" w:eastAsia="宋体" w:cs="Times New Roman"/>
          <w:color w:val="000000" w:themeColor="text1"/>
          <w14:textFill>
            <w14:solidFill>
              <w14:schemeClr w14:val="tx1"/>
            </w14:solidFill>
          </w14:textFill>
        </w:rPr>
        <w:t>8</w:t>
      </w:r>
      <w:r>
        <w:rPr>
          <w:rFonts w:ascii="Times New Roman" w:eastAsia="宋体" w:cs="Times New Roman"/>
          <w:color w:val="000000" w:themeColor="text1"/>
          <w14:textFill>
            <w14:solidFill>
              <w14:schemeClr w14:val="tx1"/>
            </w14:solidFill>
          </w14:textFill>
        </w:rPr>
        <w:t xml:space="preserve">.2 </w:t>
      </w:r>
      <w:r>
        <w:rPr>
          <w:rFonts w:hint="eastAsia" w:ascii="Times New Roman" w:eastAsia="宋体" w:cs="Times New Roman"/>
          <w:color w:val="000000" w:themeColor="text1"/>
          <w14:textFill>
            <w14:solidFill>
              <w14:schemeClr w14:val="tx1"/>
            </w14:solidFill>
          </w14:textFill>
        </w:rPr>
        <w:t>包装</w:t>
      </w:r>
    </w:p>
    <w:p w14:paraId="225B2527">
      <w:pPr>
        <w:pStyle w:val="63"/>
        <w:spacing w:before="156" w:beforeLines="50" w:after="156" w:afterLines="50"/>
        <w:ind w:firstLine="420" w:firstLineChars="200"/>
        <w:rPr>
          <w:rFonts w:ascii="Times New Roman" w:eastAsia="宋体" w:cs="Times New Roman"/>
          <w:color w:val="000000" w:themeColor="text1"/>
          <w14:textFill>
            <w14:solidFill>
              <w14:schemeClr w14:val="tx1"/>
            </w14:solidFill>
          </w14:textFill>
        </w:rPr>
      </w:pPr>
      <w:r>
        <w:rPr>
          <w:rFonts w:hint="eastAsia" w:ascii="Times New Roman" w:eastAsia="宋体" w:cs="Times New Roman"/>
          <w:color w:val="000000" w:themeColor="text1"/>
          <w14:textFill>
            <w14:solidFill>
              <w14:schemeClr w14:val="tx1"/>
            </w14:solidFill>
          </w14:textFill>
        </w:rPr>
        <w:t>产品应采用塑料桶或其他符合要求</w:t>
      </w:r>
      <w:r>
        <w:rPr>
          <w:rFonts w:hint="eastAsia" w:ascii="Times New Roman" w:eastAsia="宋体" w:cs="Times New Roman"/>
          <w:color w:val="000000" w:themeColor="text1"/>
          <w:lang w:val="en-US" w:eastAsia="zh-CN"/>
          <w14:textFill>
            <w14:solidFill>
              <w14:schemeClr w14:val="tx1"/>
            </w14:solidFill>
          </w14:textFill>
        </w:rPr>
        <w:t>的</w:t>
      </w:r>
      <w:r>
        <w:rPr>
          <w:rFonts w:hint="eastAsia" w:ascii="Times New Roman" w:eastAsia="宋体" w:cs="Times New Roman"/>
          <w:color w:val="000000" w:themeColor="text1"/>
          <w14:textFill>
            <w14:solidFill>
              <w14:schemeClr w14:val="tx1"/>
            </w14:solidFill>
          </w14:textFill>
        </w:rPr>
        <w:t>材料包装。</w:t>
      </w:r>
    </w:p>
    <w:p w14:paraId="1DAD155F">
      <w:pPr>
        <w:pStyle w:val="63"/>
        <w:spacing w:before="156" w:beforeLines="50" w:after="156" w:afterLines="50"/>
        <w:rPr>
          <w:rFonts w:ascii="Times New Roman" w:eastAsia="宋体" w:cs="Times New Roman"/>
          <w:color w:val="000000" w:themeColor="text1"/>
          <w14:textFill>
            <w14:solidFill>
              <w14:schemeClr w14:val="tx1"/>
            </w14:solidFill>
          </w14:textFill>
        </w:rPr>
      </w:pPr>
      <w:r>
        <w:rPr>
          <w:rFonts w:hint="eastAsia" w:ascii="Times New Roman" w:eastAsia="宋体" w:cs="Times New Roman"/>
          <w:color w:val="000000" w:themeColor="text1"/>
          <w14:textFill>
            <w14:solidFill>
              <w14:schemeClr w14:val="tx1"/>
            </w14:solidFill>
          </w14:textFill>
        </w:rPr>
        <w:t>8</w:t>
      </w:r>
      <w:r>
        <w:rPr>
          <w:rFonts w:ascii="Times New Roman" w:eastAsia="宋体" w:cs="Times New Roman"/>
          <w:color w:val="000000" w:themeColor="text1"/>
          <w14:textFill>
            <w14:solidFill>
              <w14:schemeClr w14:val="tx1"/>
            </w14:solidFill>
          </w14:textFill>
        </w:rPr>
        <w:t xml:space="preserve">.3 </w:t>
      </w:r>
      <w:r>
        <w:rPr>
          <w:rFonts w:hint="eastAsia" w:ascii="Times New Roman" w:eastAsia="宋体" w:cs="Times New Roman"/>
          <w:color w:val="000000" w:themeColor="text1"/>
          <w14:textFill>
            <w14:solidFill>
              <w14:schemeClr w14:val="tx1"/>
            </w14:solidFill>
          </w14:textFill>
        </w:rPr>
        <w:t>运输</w:t>
      </w:r>
    </w:p>
    <w:p w14:paraId="1419ACF0">
      <w:pPr>
        <w:pStyle w:val="63"/>
        <w:spacing w:before="156" w:beforeLines="50" w:after="156" w:afterLines="50"/>
        <w:ind w:firstLine="420" w:firstLineChars="200"/>
        <w:rPr>
          <w:rFonts w:ascii="Times New Roman" w:eastAsia="宋体" w:cs="Times New Roman"/>
          <w:color w:val="000000" w:themeColor="text1"/>
          <w14:textFill>
            <w14:solidFill>
              <w14:schemeClr w14:val="tx1"/>
            </w14:solidFill>
          </w14:textFill>
        </w:rPr>
      </w:pPr>
      <w:r>
        <w:rPr>
          <w:rFonts w:hint="eastAsia" w:ascii="Times New Roman" w:eastAsia="宋体" w:cs="Times New Roman"/>
          <w:color w:val="000000" w:themeColor="text1"/>
          <w14:textFill>
            <w14:solidFill>
              <w14:schemeClr w14:val="tx1"/>
            </w14:solidFill>
          </w14:textFill>
        </w:rPr>
        <w:t>运输过程中应注意防漏、防火、防潮，不应与食物、饲料混合装运。</w:t>
      </w:r>
    </w:p>
    <w:p w14:paraId="380C3B58">
      <w:pPr>
        <w:pStyle w:val="63"/>
        <w:spacing w:before="156" w:beforeLines="50" w:after="156" w:afterLines="50"/>
        <w:rPr>
          <w:rFonts w:ascii="Times New Roman" w:eastAsia="宋体" w:cs="Times New Roman"/>
          <w:color w:val="000000" w:themeColor="text1"/>
          <w14:textFill>
            <w14:solidFill>
              <w14:schemeClr w14:val="tx1"/>
            </w14:solidFill>
          </w14:textFill>
        </w:rPr>
      </w:pPr>
      <w:r>
        <w:rPr>
          <w:rFonts w:ascii="Times New Roman" w:eastAsia="宋体" w:cs="Times New Roman"/>
          <w:color w:val="000000" w:themeColor="text1"/>
          <w14:textFill>
            <w14:solidFill>
              <w14:schemeClr w14:val="tx1"/>
            </w14:solidFill>
          </w14:textFill>
        </w:rPr>
        <w:t xml:space="preserve">8.4 </w:t>
      </w:r>
      <w:r>
        <w:rPr>
          <w:rFonts w:hint="eastAsia" w:ascii="Times New Roman" w:eastAsia="宋体" w:cs="Times New Roman"/>
          <w:color w:val="000000" w:themeColor="text1"/>
          <w14:textFill>
            <w14:solidFill>
              <w14:schemeClr w14:val="tx1"/>
            </w14:solidFill>
          </w14:textFill>
        </w:rPr>
        <w:t>贮存</w:t>
      </w:r>
    </w:p>
    <w:p w14:paraId="484D75BC">
      <w:pPr>
        <w:pStyle w:val="63"/>
        <w:spacing w:before="156" w:beforeLines="50" w:after="156" w:afterLines="50"/>
        <w:ind w:firstLine="420" w:firstLineChars="200"/>
        <w:rPr>
          <w:rFonts w:ascii="Times New Roman" w:cs="Times New Roman"/>
          <w:color w:val="000000" w:themeColor="text1"/>
          <w14:textFill>
            <w14:solidFill>
              <w14:schemeClr w14:val="tx1"/>
            </w14:solidFill>
          </w14:textFill>
        </w:rPr>
      </w:pPr>
      <w:r>
        <w:rPr>
          <w:rFonts w:hint="eastAsia" w:ascii="Times New Roman" w:eastAsia="宋体" w:cs="Times New Roman"/>
          <w:color w:val="000000" w:themeColor="text1"/>
          <w14:textFill>
            <w14:solidFill>
              <w14:schemeClr w14:val="tx1"/>
            </w14:solidFill>
          </w14:textFill>
        </w:rPr>
        <w:t>产品应存放在阴凉、干燥和通风良好的仓库中，不应与食物、饲料等混合存放。</w:t>
      </w:r>
      <w:bookmarkEnd w:id="8"/>
      <w:bookmarkEnd w:id="9"/>
    </w:p>
    <w:p w14:paraId="5EAA942C">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1485900</wp:posOffset>
                </wp:positionH>
                <wp:positionV relativeFrom="paragraph">
                  <wp:posOffset>354965</wp:posOffset>
                </wp:positionV>
                <wp:extent cx="2085975"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208597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margin-left:117pt;margin-top:27.95pt;height:0pt;width:164.25pt;z-index:251661312;mso-width-relative:page;mso-height-relative:page;" filled="f" stroked="t" coordsize="21600,21600" o:gfxdata="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AhydrX&#10;AAAACQEAAA8AAAAAAAAAAQAgAAAAIgAAAGRycy9kb3ducmV2LnhtbFBLAQIUABQAAAAIAIdO4kDU&#10;ev2k6AEAAL8DAAAOAAAAAAAAAAEAIAAAACYBAABkcnMvZTJvRG9jLnhtbFBLBQYAAAAABgAGAFkB&#10;AACABQAAAAA=&#10;">
                <v:fill on="f" focussize="0,0"/>
                <v:stroke weight="0.5pt" color="#000000" miterlimit="8" joinstyle="miter"/>
                <v:imagedata o:title=""/>
                <o:lock v:ext="edit" aspectratio="f"/>
              </v:line>
            </w:pict>
          </mc:Fallback>
        </mc:AlternateContent>
      </w:r>
    </w:p>
    <w:sectPr>
      <w:footerReference r:id="rId13" w:type="default"/>
      <w:footerReference r:id="rId14" w:type="even"/>
      <w:pgSz w:w="11906" w:h="16838"/>
      <w:pgMar w:top="1701" w:right="1134" w:bottom="1134" w:left="1418" w:header="1361" w:footer="1134" w:gutter="0"/>
      <w:pgNumType w:start="1"/>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4BE09">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ACE41">
    <w:pPr>
      <w:pStyle w:val="12"/>
      <w:ind w:firstLine="360"/>
    </w:pPr>
  </w:p>
  <w:p w14:paraId="2D6770D3">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D5FEF">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A4A8A">
    <w:pPr>
      <w:pStyle w:val="67"/>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E196D">
    <w:pPr>
      <w:pStyle w:val="67"/>
    </w:pPr>
    <w:r>
      <w:fldChar w:fldCharType="begin"/>
    </w:r>
    <w:r>
      <w:instrText xml:space="preserve"> PAGE  \* MERGEFORMAT </w:instrText>
    </w:r>
    <w:r>
      <w:fldChar w:fldCharType="separate"/>
    </w:r>
    <w: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E662B">
    <w:pPr>
      <w:pStyle w:val="12"/>
      <w:ind w:firstLine="360"/>
    </w:pPr>
    <w:r>
      <w:fldChar w:fldCharType="begin"/>
    </w:r>
    <w:r>
      <w:instrText xml:space="preserve">PAGE   \* MERGEFORMAT</w:instrText>
    </w:r>
    <w:r>
      <w:fldChar w:fldCharType="separate"/>
    </w:r>
    <w:r>
      <w:rPr>
        <w:lang w:val="zh-CN"/>
      </w:rPr>
      <w:t>6</w:t>
    </w:r>
    <w:r>
      <w:fldChar w:fldCharType="end"/>
    </w:r>
  </w:p>
  <w:p w14:paraId="1602509F">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AD739">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8D5A7">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9F1BF">
    <w:pPr>
      <w:pStyle w:val="1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92AA7">
    <w:pPr>
      <w:pStyle w:val="68"/>
      <w:spacing w:after="284"/>
      <w:rPr>
        <w:rFonts w:hint="eastAsia"/>
        <w:lang w:eastAsia="zh-CN"/>
      </w:rPr>
    </w:pPr>
    <w:r>
      <w:rPr>
        <w:rFonts w:hint="eastAsia"/>
        <w:lang w:eastAsia="zh-CN"/>
      </w:rPr>
      <w:t>JC/T XXXX—XXXX</w:t>
    </w:r>
  </w:p>
  <w:p w14:paraId="32E56518">
    <w:pPr>
      <w:pStyle w:val="68"/>
      <w:spacing w:after="28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89EEF"/>
    <w:multiLevelType w:val="singleLevel"/>
    <w:tmpl w:val="9AB89EEF"/>
    <w:lvl w:ilvl="0" w:tentative="0">
      <w:start w:val="1"/>
      <w:numFmt w:val="lowerLetter"/>
      <w:suff w:val="nothing"/>
      <w:lvlText w:val="%1）"/>
      <w:lvlJc w:val="left"/>
      <w:pPr>
        <w:ind w:left="0" w:firstLine="420"/>
      </w:pPr>
    </w:lvl>
  </w:abstractNum>
  <w:abstractNum w:abstractNumId="1">
    <w:nsid w:val="9DE08A24"/>
    <w:multiLevelType w:val="singleLevel"/>
    <w:tmpl w:val="9DE08A24"/>
    <w:lvl w:ilvl="0" w:tentative="0">
      <w:start w:val="1"/>
      <w:numFmt w:val="lowerLetter"/>
      <w:suff w:val="nothing"/>
      <w:lvlText w:val="%1）"/>
      <w:lvlJc w:val="left"/>
      <w:pPr>
        <w:ind w:left="0" w:firstLine="420"/>
      </w:pPr>
    </w:lvl>
  </w:abstractNum>
  <w:abstractNum w:abstractNumId="2">
    <w:nsid w:val="BF571D84"/>
    <w:multiLevelType w:val="singleLevel"/>
    <w:tmpl w:val="BF571D84"/>
    <w:lvl w:ilvl="0" w:tentative="0">
      <w:start w:val="1"/>
      <w:numFmt w:val="lowerLetter"/>
      <w:suff w:val="nothing"/>
      <w:lvlText w:val="%1）"/>
      <w:lvlJc w:val="left"/>
      <w:pPr>
        <w:ind w:left="0" w:firstLine="420"/>
      </w:pPr>
    </w:lvl>
  </w:abstractNum>
  <w:abstractNum w:abstractNumId="3">
    <w:nsid w:val="DCAFB0CB"/>
    <w:multiLevelType w:val="singleLevel"/>
    <w:tmpl w:val="DCAFB0CB"/>
    <w:lvl w:ilvl="0" w:tentative="0">
      <w:start w:val="1"/>
      <w:numFmt w:val="lowerLetter"/>
      <w:suff w:val="nothing"/>
      <w:lvlText w:val="%1）"/>
      <w:lvlJc w:val="left"/>
      <w:pPr>
        <w:ind w:left="0" w:firstLine="420"/>
      </w:pPr>
    </w:lvl>
  </w:abstractNum>
  <w:abstractNum w:abstractNumId="4">
    <w:nsid w:val="E773C2DD"/>
    <w:multiLevelType w:val="singleLevel"/>
    <w:tmpl w:val="E773C2DD"/>
    <w:lvl w:ilvl="0" w:tentative="0">
      <w:start w:val="1"/>
      <w:numFmt w:val="lowerLetter"/>
      <w:suff w:val="nothing"/>
      <w:lvlText w:val="%1）"/>
      <w:lvlJc w:val="left"/>
      <w:pPr>
        <w:ind w:left="0" w:firstLine="420"/>
      </w:pPr>
    </w:lvl>
  </w:abstractNum>
  <w:abstractNum w:abstractNumId="5">
    <w:nsid w:val="FD88E1EB"/>
    <w:multiLevelType w:val="singleLevel"/>
    <w:tmpl w:val="FD88E1EB"/>
    <w:lvl w:ilvl="0" w:tentative="0">
      <w:start w:val="1"/>
      <w:numFmt w:val="lowerLetter"/>
      <w:suff w:val="space"/>
      <w:lvlText w:val="%1)"/>
      <w:lvlJc w:val="left"/>
    </w:lvl>
  </w:abstractNum>
  <w:abstractNum w:abstractNumId="6">
    <w:nsid w:val="0ADC1AE9"/>
    <w:multiLevelType w:val="singleLevel"/>
    <w:tmpl w:val="0ADC1AE9"/>
    <w:lvl w:ilvl="0" w:tentative="0">
      <w:start w:val="1"/>
      <w:numFmt w:val="lowerLetter"/>
      <w:suff w:val="nothing"/>
      <w:lvlText w:val="%1）"/>
      <w:lvlJc w:val="left"/>
      <w:pPr>
        <w:ind w:left="0" w:firstLine="420"/>
      </w:pPr>
    </w:lvl>
  </w:abstractNum>
  <w:abstractNum w:abstractNumId="7">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AEE8008"/>
    <w:multiLevelType w:val="singleLevel"/>
    <w:tmpl w:val="2AEE8008"/>
    <w:lvl w:ilvl="0" w:tentative="0">
      <w:start w:val="1"/>
      <w:numFmt w:val="lowerLetter"/>
      <w:pStyle w:val="86"/>
      <w:suff w:val="space"/>
      <w:lvlText w:val="%1)"/>
      <w:lvlJc w:val="left"/>
      <w:pPr>
        <w:ind w:left="851" w:hanging="426"/>
      </w:pPr>
      <w:rPr>
        <w:rFonts w:hint="default"/>
      </w:rPr>
    </w:lvl>
  </w:abstractNum>
  <w:abstractNum w:abstractNumId="9">
    <w:nsid w:val="370EFA61"/>
    <w:multiLevelType w:val="singleLevel"/>
    <w:tmpl w:val="370EFA61"/>
    <w:lvl w:ilvl="0" w:tentative="0">
      <w:start w:val="1"/>
      <w:numFmt w:val="lowerLetter"/>
      <w:suff w:val="nothing"/>
      <w:lvlText w:val="%1）"/>
      <w:lvlJc w:val="left"/>
      <w:pPr>
        <w:ind w:left="0" w:firstLine="420"/>
      </w:pPr>
    </w:lvl>
  </w:abstractNum>
  <w:abstractNum w:abstractNumId="10">
    <w:nsid w:val="49DD6F04"/>
    <w:multiLevelType w:val="multilevel"/>
    <w:tmpl w:val="49DD6F04"/>
    <w:lvl w:ilvl="0" w:tentative="0">
      <w:start w:val="1"/>
      <w:numFmt w:val="decimal"/>
      <w:pStyle w:val="75"/>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rPr>
    </w:lvl>
    <w:lvl w:ilvl="1" w:tentative="0">
      <w:start w:val="1"/>
      <w:numFmt w:val="decimal"/>
      <w:suff w:val="nothing"/>
      <w:lvlText w:val="%1.%2  "/>
      <w:lvlJc w:val="left"/>
      <w:pPr>
        <w:ind w:left="0" w:firstLine="0"/>
      </w:pPr>
      <w:rPr>
        <w:rFonts w:hint="eastAsia" w:ascii="宋体" w:hAnsi="宋体" w:eastAsia="宋体"/>
        <w:b/>
        <w:i w:val="0"/>
        <w:caps w:val="0"/>
        <w:smallCaps w:val="0"/>
        <w:strike w:val="0"/>
        <w:dstrike w:val="0"/>
        <w:vanish w:val="0"/>
        <w:color w:val="auto"/>
        <w:spacing w:val="0"/>
        <w:w w:val="100"/>
        <w:kern w:val="21"/>
        <w:position w:val="0"/>
        <w:sz w:val="28"/>
        <w:szCs w:val="28"/>
        <w:u w:val="none"/>
        <w:vertAlign w:val="baseline"/>
      </w:rPr>
    </w:lvl>
    <w:lvl w:ilvl="2" w:tentative="0">
      <w:start w:val="1"/>
      <w:numFmt w:val="decimal"/>
      <w:suff w:val="nothing"/>
      <w:lvlText w:val="%1.%2.%3  "/>
      <w:lvlJc w:val="left"/>
      <w:pPr>
        <w:ind w:left="0" w:firstLine="0"/>
      </w:pPr>
      <w:rPr>
        <w:rFonts w:hint="eastAsia" w:ascii="宋体" w:hAnsi="宋体" w:eastAsia="宋体"/>
        <w:b/>
        <w:i w:val="0"/>
        <w:caps w:val="0"/>
        <w:smallCaps w:val="0"/>
        <w:strike w:val="0"/>
        <w:dstrike w:val="0"/>
        <w:vanish w:val="0"/>
        <w:color w:val="auto"/>
        <w:spacing w:val="0"/>
        <w:w w:val="100"/>
        <w:kern w:val="21"/>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11">
    <w:nsid w:val="4C49B422"/>
    <w:multiLevelType w:val="singleLevel"/>
    <w:tmpl w:val="4C49B422"/>
    <w:lvl w:ilvl="0" w:tentative="0">
      <w:start w:val="1"/>
      <w:numFmt w:val="lowerLetter"/>
      <w:suff w:val="space"/>
      <w:lvlText w:val="%1)"/>
      <w:lvlJc w:val="left"/>
    </w:lvl>
  </w:abstractNum>
  <w:abstractNum w:abstractNumId="12">
    <w:nsid w:val="5003914F"/>
    <w:multiLevelType w:val="singleLevel"/>
    <w:tmpl w:val="5003914F"/>
    <w:lvl w:ilvl="0" w:tentative="0">
      <w:start w:val="1"/>
      <w:numFmt w:val="lowerLetter"/>
      <w:suff w:val="space"/>
      <w:lvlText w:val="%1)"/>
      <w:lvlJc w:val="left"/>
    </w:lvl>
  </w:abstractNum>
  <w:abstractNum w:abstractNumId="13">
    <w:nsid w:val="646260FA"/>
    <w:multiLevelType w:val="multilevel"/>
    <w:tmpl w:val="646260FA"/>
    <w:lvl w:ilvl="0" w:tentative="0">
      <w:start w:val="1"/>
      <w:numFmt w:val="decimal"/>
      <w:pStyle w:val="8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64"/>
      <w:suff w:val="nothing"/>
      <w:lvlText w:val="%1%2　"/>
      <w:lvlJc w:val="left"/>
      <w:pPr>
        <w:ind w:left="0" w:firstLine="0"/>
      </w:pPr>
      <w:rPr>
        <w:rFonts w:hint="eastAsia" w:ascii="黑体" w:hAnsi="Times New Roman" w:eastAsia="黑体"/>
        <w:b w:val="0"/>
        <w:i w:val="0"/>
        <w:sz w:val="21"/>
      </w:rPr>
    </w:lvl>
    <w:lvl w:ilvl="2" w:tentative="0">
      <w:start w:val="1"/>
      <w:numFmt w:val="decimal"/>
      <w:pStyle w:val="87"/>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14"/>
  </w:num>
  <w:num w:numId="3">
    <w:abstractNumId w:val="10"/>
  </w:num>
  <w:num w:numId="4">
    <w:abstractNumId w:val="13"/>
  </w:num>
  <w:num w:numId="5">
    <w:abstractNumId w:val="8"/>
  </w:num>
  <w:num w:numId="6">
    <w:abstractNumId w:val="11"/>
  </w:num>
  <w:num w:numId="7">
    <w:abstractNumId w:val="7"/>
    <w:lvlOverride w:ilvl="0">
      <w:startOverride w:val="5"/>
    </w:lvlOverride>
    <w:lvlOverride w:ilvl="1">
      <w:startOverride w:val="3"/>
    </w:lvlOverride>
  </w:num>
  <w:num w:numId="8">
    <w:abstractNumId w:val="12"/>
  </w:num>
  <w:num w:numId="9">
    <w:abstractNumId w:val="5"/>
  </w:num>
  <w:num w:numId="10">
    <w:abstractNumId w:val="3"/>
  </w:num>
  <w:num w:numId="11">
    <w:abstractNumId w:val="0"/>
  </w:num>
  <w:num w:numId="12">
    <w:abstractNumId w:val="2"/>
  </w:num>
  <w:num w:numId="13">
    <w:abstractNumId w:val="4"/>
  </w:num>
  <w:num w:numId="14">
    <w:abstractNumId w:val="1"/>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RlNWE1Y2Y1OGY2MjE4Y2ZlZTljZmEzOWZkM2Q5ZTgifQ=="/>
  </w:docVars>
  <w:rsids>
    <w:rsidRoot w:val="4AD9321C"/>
    <w:rsid w:val="00005CDD"/>
    <w:rsid w:val="00007EBF"/>
    <w:rsid w:val="000117DB"/>
    <w:rsid w:val="0001232A"/>
    <w:rsid w:val="00012C06"/>
    <w:rsid w:val="00015A41"/>
    <w:rsid w:val="0001687D"/>
    <w:rsid w:val="000211BF"/>
    <w:rsid w:val="00021D81"/>
    <w:rsid w:val="00021E4A"/>
    <w:rsid w:val="00026E7A"/>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938DF"/>
    <w:rsid w:val="0009436B"/>
    <w:rsid w:val="000B3080"/>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22C72"/>
    <w:rsid w:val="001245E9"/>
    <w:rsid w:val="00124798"/>
    <w:rsid w:val="001260FA"/>
    <w:rsid w:val="00127172"/>
    <w:rsid w:val="00132AFE"/>
    <w:rsid w:val="001401A9"/>
    <w:rsid w:val="0014658E"/>
    <w:rsid w:val="0015010B"/>
    <w:rsid w:val="00150EBE"/>
    <w:rsid w:val="00153421"/>
    <w:rsid w:val="00154E1B"/>
    <w:rsid w:val="001617EB"/>
    <w:rsid w:val="00161D76"/>
    <w:rsid w:val="00167DC6"/>
    <w:rsid w:val="00171D7D"/>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20521F"/>
    <w:rsid w:val="00206995"/>
    <w:rsid w:val="00211608"/>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87B0F"/>
    <w:rsid w:val="00295AA1"/>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3996"/>
    <w:rsid w:val="002F5532"/>
    <w:rsid w:val="00300392"/>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2ECB"/>
    <w:rsid w:val="003563E1"/>
    <w:rsid w:val="00362295"/>
    <w:rsid w:val="0036333D"/>
    <w:rsid w:val="003646E4"/>
    <w:rsid w:val="00374123"/>
    <w:rsid w:val="00376C18"/>
    <w:rsid w:val="003805EB"/>
    <w:rsid w:val="00380E0D"/>
    <w:rsid w:val="00380E80"/>
    <w:rsid w:val="00381103"/>
    <w:rsid w:val="00381467"/>
    <w:rsid w:val="0038598A"/>
    <w:rsid w:val="003867A0"/>
    <w:rsid w:val="0039017E"/>
    <w:rsid w:val="003A00BA"/>
    <w:rsid w:val="003A190F"/>
    <w:rsid w:val="003A61A5"/>
    <w:rsid w:val="003B263C"/>
    <w:rsid w:val="003B359E"/>
    <w:rsid w:val="003B6D03"/>
    <w:rsid w:val="003C0DF6"/>
    <w:rsid w:val="003C2F59"/>
    <w:rsid w:val="003C5A2F"/>
    <w:rsid w:val="003C6889"/>
    <w:rsid w:val="003D1235"/>
    <w:rsid w:val="003D42B7"/>
    <w:rsid w:val="003D4BD8"/>
    <w:rsid w:val="003D576E"/>
    <w:rsid w:val="003D7763"/>
    <w:rsid w:val="003E63B5"/>
    <w:rsid w:val="003E7D4A"/>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7049"/>
    <w:rsid w:val="004504E3"/>
    <w:rsid w:val="0045117C"/>
    <w:rsid w:val="0045416C"/>
    <w:rsid w:val="00454A83"/>
    <w:rsid w:val="00460EC5"/>
    <w:rsid w:val="00461134"/>
    <w:rsid w:val="00463CED"/>
    <w:rsid w:val="00467ADB"/>
    <w:rsid w:val="00482478"/>
    <w:rsid w:val="004824D2"/>
    <w:rsid w:val="004879DB"/>
    <w:rsid w:val="004916C9"/>
    <w:rsid w:val="004A1DDF"/>
    <w:rsid w:val="004A23FF"/>
    <w:rsid w:val="004A4480"/>
    <w:rsid w:val="004A4696"/>
    <w:rsid w:val="004B01A5"/>
    <w:rsid w:val="004B3EA5"/>
    <w:rsid w:val="004B5CD4"/>
    <w:rsid w:val="004C1149"/>
    <w:rsid w:val="004C24A1"/>
    <w:rsid w:val="004C4F73"/>
    <w:rsid w:val="004D0F9A"/>
    <w:rsid w:val="004D1D17"/>
    <w:rsid w:val="004E1BD3"/>
    <w:rsid w:val="004E5C70"/>
    <w:rsid w:val="004E5FA5"/>
    <w:rsid w:val="004F37ED"/>
    <w:rsid w:val="004F489B"/>
    <w:rsid w:val="00500AF9"/>
    <w:rsid w:val="00503F1A"/>
    <w:rsid w:val="00507665"/>
    <w:rsid w:val="005104FD"/>
    <w:rsid w:val="00512072"/>
    <w:rsid w:val="00516CEE"/>
    <w:rsid w:val="005203B7"/>
    <w:rsid w:val="005215F2"/>
    <w:rsid w:val="00523797"/>
    <w:rsid w:val="00524670"/>
    <w:rsid w:val="00525C77"/>
    <w:rsid w:val="005346A4"/>
    <w:rsid w:val="005368E4"/>
    <w:rsid w:val="0053746E"/>
    <w:rsid w:val="00540F5D"/>
    <w:rsid w:val="00546306"/>
    <w:rsid w:val="0055033F"/>
    <w:rsid w:val="00551EC3"/>
    <w:rsid w:val="005524B5"/>
    <w:rsid w:val="00556912"/>
    <w:rsid w:val="0056456A"/>
    <w:rsid w:val="00571C26"/>
    <w:rsid w:val="005722F6"/>
    <w:rsid w:val="00575BA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6223"/>
    <w:rsid w:val="005D7FFA"/>
    <w:rsid w:val="005E1FEA"/>
    <w:rsid w:val="005E65BC"/>
    <w:rsid w:val="005F54F1"/>
    <w:rsid w:val="00603778"/>
    <w:rsid w:val="00604425"/>
    <w:rsid w:val="00605BCF"/>
    <w:rsid w:val="006106B8"/>
    <w:rsid w:val="00621FFE"/>
    <w:rsid w:val="0062291D"/>
    <w:rsid w:val="00634FCE"/>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68AA"/>
    <w:rsid w:val="006E7922"/>
    <w:rsid w:val="006F21BA"/>
    <w:rsid w:val="006F2411"/>
    <w:rsid w:val="00701D22"/>
    <w:rsid w:val="0070217D"/>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3A8B"/>
    <w:rsid w:val="00775777"/>
    <w:rsid w:val="007768A3"/>
    <w:rsid w:val="0077751B"/>
    <w:rsid w:val="00781E2F"/>
    <w:rsid w:val="007830F3"/>
    <w:rsid w:val="007872E4"/>
    <w:rsid w:val="007920E2"/>
    <w:rsid w:val="00792937"/>
    <w:rsid w:val="007A13D5"/>
    <w:rsid w:val="007A21D3"/>
    <w:rsid w:val="007A44FD"/>
    <w:rsid w:val="007A5242"/>
    <w:rsid w:val="007A6BDD"/>
    <w:rsid w:val="007B0865"/>
    <w:rsid w:val="007B0FDE"/>
    <w:rsid w:val="007B3181"/>
    <w:rsid w:val="007B6390"/>
    <w:rsid w:val="007B6ECF"/>
    <w:rsid w:val="007C048C"/>
    <w:rsid w:val="007C1148"/>
    <w:rsid w:val="007C1DDE"/>
    <w:rsid w:val="007C748D"/>
    <w:rsid w:val="007D4744"/>
    <w:rsid w:val="007D5B8E"/>
    <w:rsid w:val="007E73EA"/>
    <w:rsid w:val="007F2233"/>
    <w:rsid w:val="007F229F"/>
    <w:rsid w:val="007F24C1"/>
    <w:rsid w:val="007F3C8C"/>
    <w:rsid w:val="0080161F"/>
    <w:rsid w:val="008022DF"/>
    <w:rsid w:val="00803AD3"/>
    <w:rsid w:val="008100F2"/>
    <w:rsid w:val="00822B51"/>
    <w:rsid w:val="00824370"/>
    <w:rsid w:val="008245B0"/>
    <w:rsid w:val="00824D75"/>
    <w:rsid w:val="00825672"/>
    <w:rsid w:val="00833C87"/>
    <w:rsid w:val="00842CEC"/>
    <w:rsid w:val="00843C18"/>
    <w:rsid w:val="0084476B"/>
    <w:rsid w:val="0084521F"/>
    <w:rsid w:val="00846521"/>
    <w:rsid w:val="0085009C"/>
    <w:rsid w:val="00851BE4"/>
    <w:rsid w:val="0085548B"/>
    <w:rsid w:val="008603A2"/>
    <w:rsid w:val="00865305"/>
    <w:rsid w:val="008725AA"/>
    <w:rsid w:val="008743DE"/>
    <w:rsid w:val="0087651A"/>
    <w:rsid w:val="00883F7C"/>
    <w:rsid w:val="008906CE"/>
    <w:rsid w:val="00891CB4"/>
    <w:rsid w:val="008931F7"/>
    <w:rsid w:val="00893D0E"/>
    <w:rsid w:val="00894425"/>
    <w:rsid w:val="00896D96"/>
    <w:rsid w:val="00897CD3"/>
    <w:rsid w:val="008A0372"/>
    <w:rsid w:val="008A668C"/>
    <w:rsid w:val="008B500D"/>
    <w:rsid w:val="008C1C85"/>
    <w:rsid w:val="008C4814"/>
    <w:rsid w:val="008D0B23"/>
    <w:rsid w:val="008D5D8B"/>
    <w:rsid w:val="008E0DB0"/>
    <w:rsid w:val="008E0E1D"/>
    <w:rsid w:val="008E0F0B"/>
    <w:rsid w:val="008E2EE0"/>
    <w:rsid w:val="008E6072"/>
    <w:rsid w:val="008F255D"/>
    <w:rsid w:val="008F26D2"/>
    <w:rsid w:val="009016D7"/>
    <w:rsid w:val="00902E12"/>
    <w:rsid w:val="00903056"/>
    <w:rsid w:val="0092314E"/>
    <w:rsid w:val="00930168"/>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39"/>
    <w:rsid w:val="00983AAE"/>
    <w:rsid w:val="009841FB"/>
    <w:rsid w:val="00990790"/>
    <w:rsid w:val="009915BF"/>
    <w:rsid w:val="009A3002"/>
    <w:rsid w:val="009A50DA"/>
    <w:rsid w:val="009A59B2"/>
    <w:rsid w:val="009A6B45"/>
    <w:rsid w:val="009B2006"/>
    <w:rsid w:val="009B2095"/>
    <w:rsid w:val="009B35B3"/>
    <w:rsid w:val="009B3F97"/>
    <w:rsid w:val="009B50E6"/>
    <w:rsid w:val="009C308C"/>
    <w:rsid w:val="009C5371"/>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08F1"/>
    <w:rsid w:val="00A25CC6"/>
    <w:rsid w:val="00A278DD"/>
    <w:rsid w:val="00A30E2A"/>
    <w:rsid w:val="00A31A4A"/>
    <w:rsid w:val="00A3445E"/>
    <w:rsid w:val="00A34F99"/>
    <w:rsid w:val="00A37AAE"/>
    <w:rsid w:val="00A43FE3"/>
    <w:rsid w:val="00A45D64"/>
    <w:rsid w:val="00A46B3B"/>
    <w:rsid w:val="00A50429"/>
    <w:rsid w:val="00A529A8"/>
    <w:rsid w:val="00A54352"/>
    <w:rsid w:val="00A755BC"/>
    <w:rsid w:val="00A765DC"/>
    <w:rsid w:val="00A8009F"/>
    <w:rsid w:val="00A828CD"/>
    <w:rsid w:val="00A83E13"/>
    <w:rsid w:val="00AA021F"/>
    <w:rsid w:val="00AA2A81"/>
    <w:rsid w:val="00AA3A77"/>
    <w:rsid w:val="00AB3578"/>
    <w:rsid w:val="00AB473F"/>
    <w:rsid w:val="00AB5D8B"/>
    <w:rsid w:val="00AB6BA7"/>
    <w:rsid w:val="00AB7BDD"/>
    <w:rsid w:val="00AB7D07"/>
    <w:rsid w:val="00AC1A38"/>
    <w:rsid w:val="00AC6757"/>
    <w:rsid w:val="00AD5563"/>
    <w:rsid w:val="00AD7678"/>
    <w:rsid w:val="00AE00A5"/>
    <w:rsid w:val="00AE00C0"/>
    <w:rsid w:val="00AE5936"/>
    <w:rsid w:val="00AF197F"/>
    <w:rsid w:val="00AF31E5"/>
    <w:rsid w:val="00AF3943"/>
    <w:rsid w:val="00AF5ED2"/>
    <w:rsid w:val="00AF6980"/>
    <w:rsid w:val="00AF795A"/>
    <w:rsid w:val="00B00555"/>
    <w:rsid w:val="00B0205F"/>
    <w:rsid w:val="00B0410A"/>
    <w:rsid w:val="00B0433A"/>
    <w:rsid w:val="00B118BA"/>
    <w:rsid w:val="00B13B8F"/>
    <w:rsid w:val="00B14A4F"/>
    <w:rsid w:val="00B156BC"/>
    <w:rsid w:val="00B20E16"/>
    <w:rsid w:val="00B22ABA"/>
    <w:rsid w:val="00B27B78"/>
    <w:rsid w:val="00B307FF"/>
    <w:rsid w:val="00B36A04"/>
    <w:rsid w:val="00B4632F"/>
    <w:rsid w:val="00B55716"/>
    <w:rsid w:val="00B56989"/>
    <w:rsid w:val="00B62381"/>
    <w:rsid w:val="00B6446E"/>
    <w:rsid w:val="00B66C58"/>
    <w:rsid w:val="00B66E91"/>
    <w:rsid w:val="00B77EC1"/>
    <w:rsid w:val="00B80205"/>
    <w:rsid w:val="00B806AC"/>
    <w:rsid w:val="00BA18B8"/>
    <w:rsid w:val="00BA2AA0"/>
    <w:rsid w:val="00BA5CAA"/>
    <w:rsid w:val="00BB2247"/>
    <w:rsid w:val="00BB4D55"/>
    <w:rsid w:val="00BC4DAA"/>
    <w:rsid w:val="00BD2656"/>
    <w:rsid w:val="00BD3CB5"/>
    <w:rsid w:val="00BD5F22"/>
    <w:rsid w:val="00BE301D"/>
    <w:rsid w:val="00BE77B4"/>
    <w:rsid w:val="00BF1714"/>
    <w:rsid w:val="00BF3B7B"/>
    <w:rsid w:val="00BF5500"/>
    <w:rsid w:val="00BF7A32"/>
    <w:rsid w:val="00C037AD"/>
    <w:rsid w:val="00C052D1"/>
    <w:rsid w:val="00C0571A"/>
    <w:rsid w:val="00C1189F"/>
    <w:rsid w:val="00C11931"/>
    <w:rsid w:val="00C13F13"/>
    <w:rsid w:val="00C1555A"/>
    <w:rsid w:val="00C161BE"/>
    <w:rsid w:val="00C30EC1"/>
    <w:rsid w:val="00C317E7"/>
    <w:rsid w:val="00C32D45"/>
    <w:rsid w:val="00C34F1E"/>
    <w:rsid w:val="00C4210E"/>
    <w:rsid w:val="00C42370"/>
    <w:rsid w:val="00C42A5F"/>
    <w:rsid w:val="00C4432C"/>
    <w:rsid w:val="00C46FDB"/>
    <w:rsid w:val="00C5533A"/>
    <w:rsid w:val="00C55B7B"/>
    <w:rsid w:val="00C5764F"/>
    <w:rsid w:val="00C6627E"/>
    <w:rsid w:val="00C7175F"/>
    <w:rsid w:val="00C737E0"/>
    <w:rsid w:val="00C74744"/>
    <w:rsid w:val="00C758D9"/>
    <w:rsid w:val="00C84C9C"/>
    <w:rsid w:val="00C924CC"/>
    <w:rsid w:val="00C97F29"/>
    <w:rsid w:val="00CA333C"/>
    <w:rsid w:val="00CA36DE"/>
    <w:rsid w:val="00CA3C15"/>
    <w:rsid w:val="00CA6A77"/>
    <w:rsid w:val="00CA76C8"/>
    <w:rsid w:val="00CB1E9D"/>
    <w:rsid w:val="00CB349F"/>
    <w:rsid w:val="00CB772F"/>
    <w:rsid w:val="00CC11C4"/>
    <w:rsid w:val="00CC14A7"/>
    <w:rsid w:val="00CC35DB"/>
    <w:rsid w:val="00CC3EDE"/>
    <w:rsid w:val="00CC5C29"/>
    <w:rsid w:val="00CD0964"/>
    <w:rsid w:val="00CD0E61"/>
    <w:rsid w:val="00CD2467"/>
    <w:rsid w:val="00CE3848"/>
    <w:rsid w:val="00CE7767"/>
    <w:rsid w:val="00CF33F8"/>
    <w:rsid w:val="00CF6682"/>
    <w:rsid w:val="00D018AC"/>
    <w:rsid w:val="00D04B0D"/>
    <w:rsid w:val="00D14C1E"/>
    <w:rsid w:val="00D20EB1"/>
    <w:rsid w:val="00D22C61"/>
    <w:rsid w:val="00D23D7C"/>
    <w:rsid w:val="00D313BF"/>
    <w:rsid w:val="00D324A3"/>
    <w:rsid w:val="00D324CB"/>
    <w:rsid w:val="00D332A3"/>
    <w:rsid w:val="00D33610"/>
    <w:rsid w:val="00D33B36"/>
    <w:rsid w:val="00D33C08"/>
    <w:rsid w:val="00D4121C"/>
    <w:rsid w:val="00D415B1"/>
    <w:rsid w:val="00D43704"/>
    <w:rsid w:val="00D442D7"/>
    <w:rsid w:val="00D44BDD"/>
    <w:rsid w:val="00D44D32"/>
    <w:rsid w:val="00D46A8A"/>
    <w:rsid w:val="00D54E85"/>
    <w:rsid w:val="00D56418"/>
    <w:rsid w:val="00D60CBD"/>
    <w:rsid w:val="00D67F2E"/>
    <w:rsid w:val="00D71A25"/>
    <w:rsid w:val="00D769EE"/>
    <w:rsid w:val="00D776CF"/>
    <w:rsid w:val="00D81977"/>
    <w:rsid w:val="00D87139"/>
    <w:rsid w:val="00D91FC4"/>
    <w:rsid w:val="00D95751"/>
    <w:rsid w:val="00D96548"/>
    <w:rsid w:val="00D97B13"/>
    <w:rsid w:val="00DA1712"/>
    <w:rsid w:val="00DA4754"/>
    <w:rsid w:val="00DA51A6"/>
    <w:rsid w:val="00DA52BC"/>
    <w:rsid w:val="00DA6FDD"/>
    <w:rsid w:val="00DB172E"/>
    <w:rsid w:val="00DB3632"/>
    <w:rsid w:val="00DB6A02"/>
    <w:rsid w:val="00DB7831"/>
    <w:rsid w:val="00DC0341"/>
    <w:rsid w:val="00DC0B0C"/>
    <w:rsid w:val="00DC71D5"/>
    <w:rsid w:val="00DD040A"/>
    <w:rsid w:val="00DD121E"/>
    <w:rsid w:val="00DD39BD"/>
    <w:rsid w:val="00DD7372"/>
    <w:rsid w:val="00DE2F04"/>
    <w:rsid w:val="00DE3652"/>
    <w:rsid w:val="00DE3815"/>
    <w:rsid w:val="00DF1C33"/>
    <w:rsid w:val="00DF392C"/>
    <w:rsid w:val="00DF535B"/>
    <w:rsid w:val="00DF5512"/>
    <w:rsid w:val="00DF67DD"/>
    <w:rsid w:val="00E005F4"/>
    <w:rsid w:val="00E169BB"/>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6641"/>
    <w:rsid w:val="00E715AA"/>
    <w:rsid w:val="00E77C0A"/>
    <w:rsid w:val="00E8165F"/>
    <w:rsid w:val="00E831E0"/>
    <w:rsid w:val="00E853D7"/>
    <w:rsid w:val="00E87485"/>
    <w:rsid w:val="00E90DAB"/>
    <w:rsid w:val="00E951C1"/>
    <w:rsid w:val="00EA2ED9"/>
    <w:rsid w:val="00EB26B8"/>
    <w:rsid w:val="00EB4883"/>
    <w:rsid w:val="00EC06DA"/>
    <w:rsid w:val="00EC28CD"/>
    <w:rsid w:val="00EC3431"/>
    <w:rsid w:val="00EC5B75"/>
    <w:rsid w:val="00EC6510"/>
    <w:rsid w:val="00ED4491"/>
    <w:rsid w:val="00ED65D2"/>
    <w:rsid w:val="00EE0BC0"/>
    <w:rsid w:val="00EE2C33"/>
    <w:rsid w:val="00EF0980"/>
    <w:rsid w:val="00EF1D52"/>
    <w:rsid w:val="00EF301B"/>
    <w:rsid w:val="00EF5B8B"/>
    <w:rsid w:val="00F003A7"/>
    <w:rsid w:val="00F019A7"/>
    <w:rsid w:val="00F06EFB"/>
    <w:rsid w:val="00F1061E"/>
    <w:rsid w:val="00F13125"/>
    <w:rsid w:val="00F15106"/>
    <w:rsid w:val="00F16577"/>
    <w:rsid w:val="00F20320"/>
    <w:rsid w:val="00F228CB"/>
    <w:rsid w:val="00F27F7C"/>
    <w:rsid w:val="00F3424F"/>
    <w:rsid w:val="00F354C8"/>
    <w:rsid w:val="00F3573D"/>
    <w:rsid w:val="00F36A28"/>
    <w:rsid w:val="00F3776E"/>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C17B3"/>
    <w:rsid w:val="00FC1AEA"/>
    <w:rsid w:val="00FC1D3E"/>
    <w:rsid w:val="00FC48BA"/>
    <w:rsid w:val="00FC6918"/>
    <w:rsid w:val="00FD08B5"/>
    <w:rsid w:val="00FD27CF"/>
    <w:rsid w:val="00FD3586"/>
    <w:rsid w:val="00FD3C2E"/>
    <w:rsid w:val="00FF1833"/>
    <w:rsid w:val="00FF4808"/>
    <w:rsid w:val="00FF6ABF"/>
    <w:rsid w:val="00FF6CDB"/>
    <w:rsid w:val="00FF6E6E"/>
    <w:rsid w:val="00FF75ED"/>
    <w:rsid w:val="01BA178B"/>
    <w:rsid w:val="026A4959"/>
    <w:rsid w:val="029C290B"/>
    <w:rsid w:val="030329BA"/>
    <w:rsid w:val="032076CE"/>
    <w:rsid w:val="036A374F"/>
    <w:rsid w:val="03B47DC1"/>
    <w:rsid w:val="043B10A6"/>
    <w:rsid w:val="04E00E86"/>
    <w:rsid w:val="04F57CED"/>
    <w:rsid w:val="056A1D11"/>
    <w:rsid w:val="058B60C2"/>
    <w:rsid w:val="06686C72"/>
    <w:rsid w:val="067547B1"/>
    <w:rsid w:val="070C5BAE"/>
    <w:rsid w:val="072256E2"/>
    <w:rsid w:val="073443D9"/>
    <w:rsid w:val="07CD53CA"/>
    <w:rsid w:val="07FD21B0"/>
    <w:rsid w:val="086E5263"/>
    <w:rsid w:val="08AD31FB"/>
    <w:rsid w:val="08B50556"/>
    <w:rsid w:val="08EF1211"/>
    <w:rsid w:val="0A365262"/>
    <w:rsid w:val="0A4A0725"/>
    <w:rsid w:val="0AD91528"/>
    <w:rsid w:val="0C2B45A8"/>
    <w:rsid w:val="0CD7158E"/>
    <w:rsid w:val="11202301"/>
    <w:rsid w:val="11220ABF"/>
    <w:rsid w:val="117C00ED"/>
    <w:rsid w:val="11D90D02"/>
    <w:rsid w:val="15F36721"/>
    <w:rsid w:val="176D0592"/>
    <w:rsid w:val="194C4AAD"/>
    <w:rsid w:val="1B555E6B"/>
    <w:rsid w:val="1C295179"/>
    <w:rsid w:val="1C834CB3"/>
    <w:rsid w:val="1CB52B35"/>
    <w:rsid w:val="1E005FA5"/>
    <w:rsid w:val="1E430DE0"/>
    <w:rsid w:val="1E4C2C3B"/>
    <w:rsid w:val="1E544886"/>
    <w:rsid w:val="1EE04EB1"/>
    <w:rsid w:val="1FA13B72"/>
    <w:rsid w:val="209B3D8A"/>
    <w:rsid w:val="20CD1E0F"/>
    <w:rsid w:val="227565EF"/>
    <w:rsid w:val="227C5D64"/>
    <w:rsid w:val="22A2772B"/>
    <w:rsid w:val="25332346"/>
    <w:rsid w:val="260D76B9"/>
    <w:rsid w:val="267E2238"/>
    <w:rsid w:val="274C5429"/>
    <w:rsid w:val="294008AF"/>
    <w:rsid w:val="29CC1C9C"/>
    <w:rsid w:val="29CF1658"/>
    <w:rsid w:val="2A65714B"/>
    <w:rsid w:val="2C9E5875"/>
    <w:rsid w:val="2DA763C8"/>
    <w:rsid w:val="2FA73189"/>
    <w:rsid w:val="2FAF4C07"/>
    <w:rsid w:val="30F67906"/>
    <w:rsid w:val="314D0EE2"/>
    <w:rsid w:val="32043FBE"/>
    <w:rsid w:val="32E90F84"/>
    <w:rsid w:val="33663940"/>
    <w:rsid w:val="33F36BFE"/>
    <w:rsid w:val="35625557"/>
    <w:rsid w:val="384A186B"/>
    <w:rsid w:val="3A2B1F54"/>
    <w:rsid w:val="3A38784C"/>
    <w:rsid w:val="3A5B1046"/>
    <w:rsid w:val="3B38142F"/>
    <w:rsid w:val="3B5C2526"/>
    <w:rsid w:val="3BA478A4"/>
    <w:rsid w:val="3C5E5B29"/>
    <w:rsid w:val="3C933C0E"/>
    <w:rsid w:val="3CE47B2E"/>
    <w:rsid w:val="3CF01CC5"/>
    <w:rsid w:val="3CFA5E5C"/>
    <w:rsid w:val="3E9D72A2"/>
    <w:rsid w:val="3EA811A8"/>
    <w:rsid w:val="3EB640DE"/>
    <w:rsid w:val="415D16B6"/>
    <w:rsid w:val="447B74B4"/>
    <w:rsid w:val="44ED4117"/>
    <w:rsid w:val="44F63F7F"/>
    <w:rsid w:val="45DC07AB"/>
    <w:rsid w:val="460A0EAE"/>
    <w:rsid w:val="4820224D"/>
    <w:rsid w:val="49137B1B"/>
    <w:rsid w:val="49A90486"/>
    <w:rsid w:val="4ABF7A2E"/>
    <w:rsid w:val="4AD9321C"/>
    <w:rsid w:val="4B386D45"/>
    <w:rsid w:val="4BEB43B5"/>
    <w:rsid w:val="4CD337E9"/>
    <w:rsid w:val="4DC30244"/>
    <w:rsid w:val="4EBB7C58"/>
    <w:rsid w:val="501972E0"/>
    <w:rsid w:val="506015E4"/>
    <w:rsid w:val="515059BB"/>
    <w:rsid w:val="524C30E6"/>
    <w:rsid w:val="52607EE4"/>
    <w:rsid w:val="52A15326"/>
    <w:rsid w:val="54890F5A"/>
    <w:rsid w:val="55300172"/>
    <w:rsid w:val="553B7BF2"/>
    <w:rsid w:val="568B7EE3"/>
    <w:rsid w:val="580C7B94"/>
    <w:rsid w:val="58591F7E"/>
    <w:rsid w:val="58674E15"/>
    <w:rsid w:val="58B11C11"/>
    <w:rsid w:val="5A0F3C17"/>
    <w:rsid w:val="5B5D4FDD"/>
    <w:rsid w:val="5CB13BA9"/>
    <w:rsid w:val="5E19638D"/>
    <w:rsid w:val="5F373FBF"/>
    <w:rsid w:val="5FA559DE"/>
    <w:rsid w:val="5FEE0599"/>
    <w:rsid w:val="60AD60FE"/>
    <w:rsid w:val="60AE671D"/>
    <w:rsid w:val="61E029CA"/>
    <w:rsid w:val="62123D51"/>
    <w:rsid w:val="626266E7"/>
    <w:rsid w:val="62A87EE4"/>
    <w:rsid w:val="63051A3D"/>
    <w:rsid w:val="644454F5"/>
    <w:rsid w:val="65970E49"/>
    <w:rsid w:val="662305C2"/>
    <w:rsid w:val="67FE6E91"/>
    <w:rsid w:val="68807A41"/>
    <w:rsid w:val="69191871"/>
    <w:rsid w:val="69A23E61"/>
    <w:rsid w:val="6A1A0571"/>
    <w:rsid w:val="6C6F246F"/>
    <w:rsid w:val="6D5F728E"/>
    <w:rsid w:val="6EF230AA"/>
    <w:rsid w:val="6F25667C"/>
    <w:rsid w:val="6FFB5CDF"/>
    <w:rsid w:val="70A1532D"/>
    <w:rsid w:val="7263752C"/>
    <w:rsid w:val="73935206"/>
    <w:rsid w:val="77BE5CAD"/>
    <w:rsid w:val="7828682C"/>
    <w:rsid w:val="7981729A"/>
    <w:rsid w:val="7AC86453"/>
    <w:rsid w:val="7B327CBF"/>
    <w:rsid w:val="7BD7640F"/>
    <w:rsid w:val="7D5E7E3F"/>
    <w:rsid w:val="7E3A2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28"/>
    <w:unhideWhenUsed/>
    <w:qFormat/>
    <w:uiPriority w:val="0"/>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unhideWhenUsed/>
    <w:qFormat/>
    <w:uiPriority w:val="1"/>
    <w:pPr>
      <w:spacing w:before="72"/>
      <w:outlineLvl w:val="2"/>
    </w:pPr>
    <w:rPr>
      <w:rFonts w:ascii="Times New Roman" w:hAnsi="Times New Roman" w:eastAsia="Times New Roman"/>
      <w:sz w:val="19"/>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tabs>
        <w:tab w:val="left" w:pos="560"/>
        <w:tab w:val="left" w:pos="1120"/>
      </w:tabs>
      <w:spacing w:line="480" w:lineRule="atLeast"/>
      <w:ind w:firstLine="460"/>
    </w:pPr>
    <w:rPr>
      <w:rFonts w:ascii="Arial" w:hAnsi="Arial"/>
      <w:sz w:val="24"/>
      <w:szCs w:val="20"/>
    </w:rPr>
  </w:style>
  <w:style w:type="paragraph" w:styleId="8">
    <w:name w:val="toc 3"/>
    <w:basedOn w:val="1"/>
    <w:next w:val="1"/>
    <w:unhideWhenUsed/>
    <w:qFormat/>
    <w:uiPriority w:val="39"/>
    <w:pPr>
      <w:ind w:left="840" w:leftChars="400"/>
    </w:pPr>
  </w:style>
  <w:style w:type="paragraph" w:styleId="9">
    <w:name w:val="Plain Text"/>
    <w:basedOn w:val="1"/>
    <w:link w:val="30"/>
    <w:qFormat/>
    <w:uiPriority w:val="0"/>
    <w:rPr>
      <w:rFonts w:hAnsi="Courier New" w:cs="Courier New"/>
      <w:szCs w:val="21"/>
    </w:rPr>
  </w:style>
  <w:style w:type="paragraph" w:styleId="10">
    <w:name w:val="Date"/>
    <w:basedOn w:val="1"/>
    <w:next w:val="1"/>
    <w:link w:val="31"/>
    <w:qFormat/>
    <w:uiPriority w:val="0"/>
    <w:pPr>
      <w:ind w:left="100" w:leftChars="2500"/>
    </w:pPr>
  </w:style>
  <w:style w:type="paragraph" w:styleId="11">
    <w:name w:val="Balloon Text"/>
    <w:basedOn w:val="1"/>
    <w:link w:val="32"/>
    <w:qFormat/>
    <w:uiPriority w:val="0"/>
    <w:rPr>
      <w:sz w:val="18"/>
      <w:szCs w:val="18"/>
    </w:rPr>
  </w:style>
  <w:style w:type="paragraph" w:styleId="12">
    <w:name w:val="footer"/>
    <w:basedOn w:val="1"/>
    <w:link w:val="33"/>
    <w:qFormat/>
    <w:uiPriority w:val="99"/>
    <w:pPr>
      <w:tabs>
        <w:tab w:val="center" w:pos="4153"/>
        <w:tab w:val="right" w:pos="8306"/>
      </w:tabs>
      <w:snapToGrid w:val="0"/>
      <w:jc w:val="left"/>
    </w:pPr>
    <w:rPr>
      <w:sz w:val="18"/>
    </w:rPr>
  </w:style>
  <w:style w:type="paragraph" w:styleId="13">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Body Text Indent 3"/>
    <w:basedOn w:val="1"/>
    <w:qFormat/>
    <w:uiPriority w:val="0"/>
    <w:pPr>
      <w:spacing w:after="120"/>
      <w:ind w:left="420" w:leftChars="200"/>
    </w:pPr>
    <w:rPr>
      <w:sz w:val="16"/>
      <w:szCs w:val="16"/>
    </w:rPr>
  </w:style>
  <w:style w:type="paragraph" w:styleId="16">
    <w:name w:val="toc 2"/>
    <w:basedOn w:val="1"/>
    <w:next w:val="1"/>
    <w:unhideWhenUsed/>
    <w:qFormat/>
    <w:uiPriority w:val="39"/>
    <w:pPr>
      <w:ind w:left="420" w:leftChars="200"/>
    </w:pPr>
  </w:style>
  <w:style w:type="paragraph" w:styleId="17">
    <w:name w:val="Body Text 2"/>
    <w:basedOn w:val="1"/>
    <w:qFormat/>
    <w:uiPriority w:val="0"/>
    <w:rPr>
      <w:sz w:val="18"/>
      <w:szCs w:val="20"/>
    </w:rPr>
  </w:style>
  <w:style w:type="paragraph" w:styleId="18">
    <w:name w:val="Normal (Web)"/>
    <w:basedOn w:val="1"/>
    <w:unhideWhenUsed/>
    <w:qFormat/>
    <w:uiPriority w:val="99"/>
    <w:pPr>
      <w:widowControl w:val="0"/>
      <w:tabs>
        <w:tab w:val="clear" w:pos="4201"/>
        <w:tab w:val="clear" w:pos="9298"/>
      </w:tabs>
      <w:autoSpaceDE/>
      <w:autoSpaceDN/>
      <w:adjustRightInd w:val="0"/>
      <w:spacing w:line="400" w:lineRule="exact"/>
      <w:ind w:firstLine="0" w:firstLineChars="0"/>
    </w:pPr>
    <w:rPr>
      <w:rFonts w:ascii="Calibri" w:hAnsi="Calibri"/>
      <w:kern w:val="2"/>
      <w:sz w:val="24"/>
      <w:szCs w:val="21"/>
    </w:rPr>
  </w:style>
  <w:style w:type="paragraph" w:styleId="19">
    <w:name w:val="Title"/>
    <w:basedOn w:val="1"/>
    <w:next w:val="1"/>
    <w:link w:val="35"/>
    <w:qFormat/>
    <w:uiPriority w:val="0"/>
    <w:pPr>
      <w:spacing w:before="240" w:after="60"/>
      <w:jc w:val="center"/>
      <w:outlineLvl w:val="0"/>
    </w:pPr>
    <w:rPr>
      <w:rFonts w:ascii="Calibri Light" w:hAnsi="Calibri Light"/>
      <w:b/>
      <w:bCs/>
      <w:sz w:val="32"/>
      <w:szCs w:val="32"/>
    </w:rPr>
  </w:style>
  <w:style w:type="paragraph" w:styleId="20">
    <w:name w:val="annotation subject"/>
    <w:basedOn w:val="5"/>
    <w:next w:val="5"/>
    <w:link w:val="36"/>
    <w:qFormat/>
    <w:uiPriority w:val="0"/>
    <w:rPr>
      <w:b/>
      <w:bCs/>
    </w:rPr>
  </w:style>
  <w:style w:type="paragraph" w:styleId="21">
    <w:name w:val="Body Text First Indent"/>
    <w:basedOn w:val="6"/>
    <w:qFormat/>
    <w:uiPriority w:val="0"/>
    <w:pPr>
      <w:ind w:firstLine="100" w:firstLineChars="10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Emphasis"/>
    <w:basedOn w:val="24"/>
    <w:qFormat/>
    <w:uiPriority w:val="20"/>
    <w:rPr>
      <w:i/>
      <w:iCs/>
    </w:rPr>
  </w:style>
  <w:style w:type="character" w:styleId="26">
    <w:name w:val="Hyperlink"/>
    <w:basedOn w:val="24"/>
    <w:unhideWhenUsed/>
    <w:qFormat/>
    <w:uiPriority w:val="99"/>
    <w:rPr>
      <w:color w:val="0000FF"/>
      <w:u w:val="single"/>
    </w:rPr>
  </w:style>
  <w:style w:type="character" w:styleId="27">
    <w:name w:val="annotation reference"/>
    <w:qFormat/>
    <w:uiPriority w:val="0"/>
    <w:rPr>
      <w:sz w:val="21"/>
      <w:szCs w:val="21"/>
    </w:rPr>
  </w:style>
  <w:style w:type="character" w:customStyle="1" w:styleId="28">
    <w:name w:val="标题 2 字符"/>
    <w:basedOn w:val="24"/>
    <w:link w:val="3"/>
    <w:qFormat/>
    <w:uiPriority w:val="0"/>
    <w:rPr>
      <w:rFonts w:ascii="Calibri Light" w:hAnsi="Calibri Light" w:eastAsia="宋体" w:cs="Times New Roman"/>
      <w:b/>
      <w:bCs/>
      <w:kern w:val="2"/>
      <w:sz w:val="32"/>
      <w:szCs w:val="32"/>
    </w:rPr>
  </w:style>
  <w:style w:type="character" w:customStyle="1" w:styleId="29">
    <w:name w:val="批注文字 字符"/>
    <w:link w:val="5"/>
    <w:qFormat/>
    <w:uiPriority w:val="0"/>
    <w:rPr>
      <w:kern w:val="2"/>
      <w:sz w:val="21"/>
      <w:szCs w:val="24"/>
    </w:rPr>
  </w:style>
  <w:style w:type="character" w:customStyle="1" w:styleId="30">
    <w:name w:val="纯文本 字符"/>
    <w:link w:val="9"/>
    <w:qFormat/>
    <w:uiPriority w:val="0"/>
    <w:rPr>
      <w:rFonts w:ascii="宋体" w:hAnsi="Courier New" w:eastAsia="宋体" w:cs="Courier New"/>
      <w:kern w:val="2"/>
      <w:sz w:val="21"/>
      <w:szCs w:val="21"/>
    </w:rPr>
  </w:style>
  <w:style w:type="character" w:customStyle="1" w:styleId="31">
    <w:name w:val="日期 字符"/>
    <w:basedOn w:val="24"/>
    <w:link w:val="10"/>
    <w:qFormat/>
    <w:uiPriority w:val="0"/>
    <w:rPr>
      <w:rFonts w:ascii="宋体" w:hAnsi="宋体" w:eastAsia="宋体"/>
      <w:sz w:val="21"/>
      <w:szCs w:val="22"/>
    </w:rPr>
  </w:style>
  <w:style w:type="character" w:customStyle="1" w:styleId="32">
    <w:name w:val="批注框文本 字符"/>
    <w:link w:val="11"/>
    <w:qFormat/>
    <w:uiPriority w:val="0"/>
    <w:rPr>
      <w:kern w:val="2"/>
      <w:sz w:val="18"/>
      <w:szCs w:val="18"/>
    </w:rPr>
  </w:style>
  <w:style w:type="character" w:customStyle="1" w:styleId="33">
    <w:name w:val="页脚 字符"/>
    <w:link w:val="12"/>
    <w:qFormat/>
    <w:uiPriority w:val="99"/>
    <w:rPr>
      <w:rFonts w:ascii="Calibri" w:hAnsi="Calibri" w:eastAsia="宋体" w:cs="Times New Roman"/>
      <w:kern w:val="2"/>
      <w:sz w:val="18"/>
      <w:szCs w:val="24"/>
    </w:rPr>
  </w:style>
  <w:style w:type="character" w:customStyle="1" w:styleId="34">
    <w:name w:val="页眉 字符"/>
    <w:link w:val="13"/>
    <w:qFormat/>
    <w:uiPriority w:val="99"/>
    <w:rPr>
      <w:kern w:val="2"/>
      <w:sz w:val="18"/>
      <w:szCs w:val="18"/>
    </w:rPr>
  </w:style>
  <w:style w:type="character" w:customStyle="1" w:styleId="35">
    <w:name w:val="标题 字符"/>
    <w:link w:val="19"/>
    <w:qFormat/>
    <w:uiPriority w:val="0"/>
    <w:rPr>
      <w:rFonts w:ascii="Calibri Light" w:hAnsi="Calibri Light" w:cs="Times New Roman"/>
      <w:b/>
      <w:bCs/>
      <w:kern w:val="2"/>
      <w:sz w:val="32"/>
      <w:szCs w:val="32"/>
    </w:rPr>
  </w:style>
  <w:style w:type="character" w:customStyle="1" w:styleId="36">
    <w:name w:val="批注主题 字符"/>
    <w:link w:val="20"/>
    <w:qFormat/>
    <w:uiPriority w:val="0"/>
    <w:rPr>
      <w:b/>
      <w:bCs/>
      <w:kern w:val="2"/>
      <w:sz w:val="21"/>
      <w:szCs w:val="24"/>
    </w:rPr>
  </w:style>
  <w:style w:type="paragraph" w:customStyle="1" w:styleId="37">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3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3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40">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41">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4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43">
    <w:name w:val="封面标准英文名称"/>
    <w:basedOn w:val="42"/>
    <w:qFormat/>
    <w:uiPriority w:val="0"/>
    <w:pPr>
      <w:framePr w:wrap="around"/>
      <w:spacing w:before="370" w:line="400" w:lineRule="exact"/>
    </w:pPr>
    <w:rPr>
      <w:rFonts w:ascii="Times New Roman"/>
      <w:sz w:val="28"/>
      <w:szCs w:val="28"/>
    </w:rPr>
  </w:style>
  <w:style w:type="paragraph" w:customStyle="1" w:styleId="44">
    <w:name w:val="封面一致性程度标识"/>
    <w:basedOn w:val="43"/>
    <w:qFormat/>
    <w:uiPriority w:val="0"/>
    <w:pPr>
      <w:framePr w:wrap="around"/>
      <w:spacing w:before="440"/>
    </w:pPr>
    <w:rPr>
      <w:rFonts w:ascii="宋体" w:eastAsia="宋体"/>
    </w:rPr>
  </w:style>
  <w:style w:type="paragraph" w:customStyle="1" w:styleId="45">
    <w:name w:val="封面标准文稿类别"/>
    <w:basedOn w:val="44"/>
    <w:qFormat/>
    <w:uiPriority w:val="0"/>
    <w:pPr>
      <w:framePr w:wrap="around"/>
      <w:spacing w:after="160" w:line="240" w:lineRule="auto"/>
    </w:pPr>
    <w:rPr>
      <w:sz w:val="24"/>
    </w:rPr>
  </w:style>
  <w:style w:type="paragraph" w:customStyle="1" w:styleId="46">
    <w:name w:val="封面标准文稿编辑信息"/>
    <w:basedOn w:val="45"/>
    <w:qFormat/>
    <w:uiPriority w:val="0"/>
    <w:pPr>
      <w:framePr w:wrap="around"/>
      <w:spacing w:before="180" w:line="180" w:lineRule="exact"/>
    </w:pPr>
    <w:rPr>
      <w:sz w:val="21"/>
    </w:rPr>
  </w:style>
  <w:style w:type="paragraph" w:customStyle="1" w:styleId="47">
    <w:name w:val="其他发布日期"/>
    <w:basedOn w:val="48"/>
    <w:qFormat/>
    <w:uiPriority w:val="0"/>
    <w:pPr>
      <w:framePr w:wrap="around" w:vAnchor="page" w:hAnchor="text" w:x="1419"/>
    </w:pPr>
  </w:style>
  <w:style w:type="paragraph" w:customStyle="1" w:styleId="48">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49">
    <w:name w:val="其他实施日期"/>
    <w:basedOn w:val="50"/>
    <w:qFormat/>
    <w:uiPriority w:val="0"/>
    <w:pPr>
      <w:framePr w:wrap="around"/>
    </w:pPr>
  </w:style>
  <w:style w:type="paragraph" w:customStyle="1" w:styleId="50">
    <w:name w:val="实施日期"/>
    <w:basedOn w:val="48"/>
    <w:qFormat/>
    <w:uiPriority w:val="0"/>
    <w:pPr>
      <w:framePr w:wrap="around" w:vAnchor="page" w:hAnchor="text"/>
      <w:jc w:val="right"/>
    </w:pPr>
  </w:style>
  <w:style w:type="paragraph" w:customStyle="1" w:styleId="51">
    <w:name w:val="其他发布部门"/>
    <w:basedOn w:val="52"/>
    <w:qFormat/>
    <w:uiPriority w:val="0"/>
    <w:pPr>
      <w:framePr w:wrap="around" w:y="15310"/>
      <w:spacing w:line="0" w:lineRule="atLeast"/>
    </w:pPr>
    <w:rPr>
      <w:rFonts w:ascii="黑体" w:eastAsia="黑体"/>
      <w:b w:val="0"/>
    </w:rPr>
  </w:style>
  <w:style w:type="paragraph" w:customStyle="1" w:styleId="52">
    <w:name w:val="发布部门"/>
    <w:next w:val="53"/>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53">
    <w:name w:val="段"/>
    <w:link w:val="54"/>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54">
    <w:name w:val="段 Char"/>
    <w:link w:val="53"/>
    <w:qFormat/>
    <w:uiPriority w:val="0"/>
    <w:rPr>
      <w:rFonts w:ascii="黑体" w:hAnsi="黑体" w:eastAsia="黑体"/>
      <w:sz w:val="21"/>
      <w:szCs w:val="22"/>
    </w:rPr>
  </w:style>
  <w:style w:type="character" w:customStyle="1" w:styleId="55">
    <w:name w:val="发布"/>
    <w:qFormat/>
    <w:uiPriority w:val="0"/>
    <w:rPr>
      <w:rFonts w:ascii="黑体" w:eastAsia="黑体"/>
      <w:spacing w:val="85"/>
      <w:w w:val="100"/>
      <w:position w:val="3"/>
      <w:sz w:val="28"/>
      <w:szCs w:val="28"/>
    </w:rPr>
  </w:style>
  <w:style w:type="paragraph" w:customStyle="1" w:styleId="56">
    <w:name w:val="前言、引言标题"/>
    <w:next w:val="53"/>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57">
    <w:name w:val="目次、标准名称标题"/>
    <w:basedOn w:val="1"/>
    <w:next w:val="53"/>
    <w:qFormat/>
    <w:uiPriority w:val="0"/>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58">
    <w:name w:val="章标题"/>
    <w:next w:val="53"/>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59">
    <w:name w:val="终结线"/>
    <w:basedOn w:val="1"/>
    <w:qFormat/>
    <w:uiPriority w:val="0"/>
    <w:pPr>
      <w:framePr w:hSpace="181" w:vSpace="181" w:wrap="around" w:vAnchor="text" w:hAnchor="margin" w:xAlign="center" w:y="285"/>
    </w:pPr>
  </w:style>
  <w:style w:type="paragraph" w:customStyle="1" w:styleId="60">
    <w:name w:val="修订1"/>
    <w:unhideWhenUsed/>
    <w:qFormat/>
    <w:uiPriority w:val="99"/>
    <w:rPr>
      <w:rFonts w:ascii="Calibri" w:hAnsi="Calibri" w:eastAsia="宋体" w:cs="Times New Roman"/>
      <w:kern w:val="2"/>
      <w:sz w:val="21"/>
      <w:szCs w:val="24"/>
      <w:lang w:val="en-US" w:eastAsia="zh-CN" w:bidi="ar-SA"/>
    </w:rPr>
  </w:style>
  <w:style w:type="paragraph" w:styleId="61">
    <w:name w:val="List Paragraph"/>
    <w:basedOn w:val="1"/>
    <w:qFormat/>
    <w:uiPriority w:val="99"/>
  </w:style>
  <w:style w:type="paragraph" w:customStyle="1" w:styleId="62">
    <w:name w:val="一级条标题"/>
    <w:basedOn w:val="63"/>
    <w:next w:val="53"/>
    <w:qFormat/>
    <w:uiPriority w:val="0"/>
    <w:pPr>
      <w:spacing w:beforeLines="50" w:afterLines="50"/>
      <w:ind w:left="142"/>
      <w:outlineLvl w:val="2"/>
    </w:pPr>
    <w:rPr>
      <w:rFonts w:cs="Times New Roman"/>
    </w:rPr>
  </w:style>
  <w:style w:type="paragraph" w:customStyle="1" w:styleId="63">
    <w:name w:val="标准文件_一级条标题"/>
    <w:basedOn w:val="64"/>
    <w:next w:val="65"/>
    <w:qFormat/>
    <w:uiPriority w:val="0"/>
    <w:pPr>
      <w:numPr>
        <w:ilvl w:val="0"/>
        <w:numId w:val="0"/>
      </w:numPr>
      <w:spacing w:beforeLines="0" w:afterLines="0"/>
      <w:outlineLvl w:val="1"/>
    </w:pPr>
  </w:style>
  <w:style w:type="paragraph" w:customStyle="1" w:styleId="64">
    <w:name w:val="1章标题"/>
    <w:next w:val="65"/>
    <w:qFormat/>
    <w:uiPriority w:val="99"/>
    <w:pPr>
      <w:numPr>
        <w:ilvl w:val="1"/>
        <w:numId w:val="2"/>
      </w:numPr>
      <w:spacing w:beforeLines="50" w:afterLines="50"/>
      <w:jc w:val="both"/>
      <w:outlineLvl w:val="0"/>
    </w:pPr>
    <w:rPr>
      <w:rFonts w:ascii="黑体" w:hAnsi="Times New Roman" w:eastAsia="黑体" w:cs="黑体"/>
      <w:sz w:val="21"/>
      <w:szCs w:val="21"/>
      <w:lang w:val="en-US" w:eastAsia="zh-CN" w:bidi="ar-SA"/>
    </w:rPr>
  </w:style>
  <w:style w:type="paragraph" w:customStyle="1" w:styleId="65">
    <w:name w:val="标准文件_段"/>
    <w:link w:val="66"/>
    <w:qFormat/>
    <w:uiPriority w:val="0"/>
    <w:pPr>
      <w:widowControl w:val="0"/>
      <w:ind w:firstLine="198" w:firstLineChars="200"/>
      <w:jc w:val="both"/>
    </w:pPr>
    <w:rPr>
      <w:rFonts w:ascii="宋体" w:hAnsi="宋体" w:eastAsia="宋体" w:cs="宋体"/>
      <w:kern w:val="2"/>
      <w:sz w:val="21"/>
      <w:szCs w:val="21"/>
      <w:lang w:val="en-US" w:eastAsia="zh-CN" w:bidi="ar-SA"/>
    </w:rPr>
  </w:style>
  <w:style w:type="character" w:customStyle="1" w:styleId="66">
    <w:name w:val="标准文件_段 Char"/>
    <w:link w:val="65"/>
    <w:qFormat/>
    <w:uiPriority w:val="0"/>
    <w:rPr>
      <w:rFonts w:ascii="宋体" w:hAnsi="宋体" w:cs="宋体"/>
      <w:kern w:val="2"/>
      <w:sz w:val="21"/>
      <w:szCs w:val="21"/>
    </w:rPr>
  </w:style>
  <w:style w:type="paragraph" w:customStyle="1" w:styleId="6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8">
    <w:name w:val="标准文件_页眉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9">
    <w:name w:val="二级条标题"/>
    <w:basedOn w:val="62"/>
    <w:next w:val="53"/>
    <w:qFormat/>
    <w:uiPriority w:val="0"/>
    <w:pPr>
      <w:spacing w:before="50" w:after="50"/>
      <w:ind w:left="0"/>
      <w:outlineLvl w:val="3"/>
    </w:pPr>
  </w:style>
  <w:style w:type="paragraph" w:customStyle="1" w:styleId="70">
    <w:name w:val="三级条标题"/>
    <w:basedOn w:val="69"/>
    <w:next w:val="53"/>
    <w:qFormat/>
    <w:uiPriority w:val="0"/>
    <w:pPr>
      <w:ind w:left="1134"/>
      <w:outlineLvl w:val="4"/>
    </w:pPr>
  </w:style>
  <w:style w:type="paragraph" w:customStyle="1" w:styleId="71">
    <w:name w:val="四级条标题"/>
    <w:basedOn w:val="70"/>
    <w:next w:val="53"/>
    <w:qFormat/>
    <w:uiPriority w:val="0"/>
    <w:pPr>
      <w:ind w:left="0"/>
      <w:outlineLvl w:val="5"/>
    </w:pPr>
  </w:style>
  <w:style w:type="paragraph" w:customStyle="1" w:styleId="72">
    <w:name w:val="五级条标题"/>
    <w:basedOn w:val="71"/>
    <w:next w:val="53"/>
    <w:qFormat/>
    <w:uiPriority w:val="0"/>
    <w:pPr>
      <w:outlineLvl w:val="6"/>
    </w:pPr>
  </w:style>
  <w:style w:type="character" w:styleId="73">
    <w:name w:val="Placeholder Text"/>
    <w:basedOn w:val="24"/>
    <w:semiHidden/>
    <w:qFormat/>
    <w:uiPriority w:val="99"/>
    <w:rPr>
      <w:color w:val="808080"/>
    </w:rPr>
  </w:style>
  <w:style w:type="paragraph" w:customStyle="1" w:styleId="74">
    <w:name w:val="TOC 标题1"/>
    <w:basedOn w:val="2"/>
    <w:next w:val="1"/>
    <w:unhideWhenUsed/>
    <w:qFormat/>
    <w:uiPriority w:val="39"/>
    <w:pPr>
      <w:spacing w:before="240" w:after="0" w:line="259" w:lineRule="auto"/>
      <w:jc w:val="left"/>
      <w:outlineLvl w:val="9"/>
    </w:pPr>
    <w:rPr>
      <w:rFonts w:ascii="Calibri Light" w:hAnsi="Calibri Light"/>
      <w:b w:val="0"/>
      <w:color w:val="2E75B5"/>
      <w:kern w:val="0"/>
      <w:sz w:val="32"/>
      <w:szCs w:val="32"/>
    </w:rPr>
  </w:style>
  <w:style w:type="paragraph" w:customStyle="1" w:styleId="75">
    <w:name w:val="章"/>
    <w:basedOn w:val="1"/>
    <w:next w:val="53"/>
    <w:qFormat/>
    <w:uiPriority w:val="0"/>
    <w:pPr>
      <w:numPr>
        <w:ilvl w:val="0"/>
        <w:numId w:val="3"/>
      </w:numPr>
      <w:adjustRightInd w:val="0"/>
      <w:spacing w:before="156" w:beforeLines="50" w:after="156" w:afterLines="50"/>
      <w:ind w:left="0"/>
      <w:jc w:val="center"/>
      <w:outlineLvl w:val="0"/>
    </w:pPr>
    <w:rPr>
      <w:b/>
      <w:kern w:val="21"/>
      <w:sz w:val="32"/>
      <w:szCs w:val="32"/>
    </w:rPr>
  </w:style>
  <w:style w:type="paragraph" w:customStyle="1" w:styleId="76">
    <w:name w:val="附录A列表"/>
    <w:basedOn w:val="1"/>
    <w:qFormat/>
    <w:uiPriority w:val="0"/>
    <w:pPr>
      <w:keepNext/>
      <w:spacing w:line="300" w:lineRule="auto"/>
      <w:jc w:val="center"/>
    </w:pPr>
  </w:style>
  <w:style w:type="paragraph" w:customStyle="1" w:styleId="77">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8">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9">
    <w:name w:val="Char1"/>
    <w:basedOn w:val="1"/>
    <w:qFormat/>
    <w:uiPriority w:val="0"/>
    <w:pPr>
      <w:spacing w:before="78" w:beforeLines="25" w:after="78" w:afterLines="25" w:line="360" w:lineRule="auto"/>
      <w:jc w:val="left"/>
    </w:pPr>
    <w:rPr>
      <w:rFonts w:cs="宋体"/>
      <w:bCs/>
      <w:sz w:val="24"/>
    </w:rPr>
  </w:style>
  <w:style w:type="table" w:customStyle="1" w:styleId="80">
    <w:name w:val="TableGrid"/>
    <w:qFormat/>
    <w:uiPriority w:val="0"/>
    <w:rPr>
      <w:rFonts w:ascii="Calibri" w:hAnsi="Calibri"/>
      <w:kern w:val="2"/>
      <w:sz w:val="21"/>
      <w:szCs w:val="22"/>
    </w:rPr>
    <w:tblPr>
      <w:tblCellMar>
        <w:top w:w="0" w:type="dxa"/>
        <w:left w:w="0" w:type="dxa"/>
        <w:bottom w:w="0" w:type="dxa"/>
        <w:right w:w="0" w:type="dxa"/>
      </w:tblCellMar>
    </w:tblPr>
  </w:style>
  <w:style w:type="paragraph" w:customStyle="1" w:styleId="81">
    <w:name w:val="TOC 标题2"/>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Calibri Light" w:hAnsi="Calibri Light"/>
      <w:b w:val="0"/>
      <w:color w:val="2E75B5"/>
      <w:kern w:val="0"/>
      <w:sz w:val="32"/>
      <w:szCs w:val="32"/>
    </w:rPr>
  </w:style>
  <w:style w:type="paragraph" w:customStyle="1" w:styleId="82">
    <w:name w:val="Table Paragraph"/>
    <w:basedOn w:val="1"/>
    <w:unhideWhenUsed/>
    <w:qFormat/>
    <w:uiPriority w:val="1"/>
    <w:pPr>
      <w:spacing w:before="64"/>
      <w:ind w:left="100"/>
      <w:jc w:val="center"/>
    </w:pPr>
    <w:rPr>
      <w:rFonts w:hint="eastAsia"/>
      <w:sz w:val="24"/>
      <w:szCs w:val="24"/>
    </w:rPr>
  </w:style>
  <w:style w:type="paragraph" w:customStyle="1" w:styleId="83">
    <w:name w:val="正文表标题"/>
    <w:next w:val="53"/>
    <w:qFormat/>
    <w:uiPriority w:val="0"/>
    <w:pPr>
      <w:numPr>
        <w:ilvl w:val="0"/>
        <w:numId w:val="4"/>
      </w:numPr>
      <w:jc w:val="center"/>
    </w:pPr>
    <w:rPr>
      <w:rFonts w:ascii="黑体" w:hAnsi="Times New Roman" w:eastAsia="黑体" w:cs="Times New Roman"/>
      <w:sz w:val="21"/>
      <w:lang w:val="en-US" w:eastAsia="zh-CN" w:bidi="ar-SA"/>
    </w:rPr>
  </w:style>
  <w:style w:type="paragraph" w:customStyle="1" w:styleId="84">
    <w:name w:val="标准文件_文件编号"/>
    <w:basedOn w:val="1"/>
    <w:qFormat/>
    <w:uiPriority w:val="0"/>
    <w:pPr>
      <w:framePr w:w="9356" w:h="624" w:hRule="exact" w:hSpace="181" w:vSpace="181" w:wrap="auto" w:vAnchor="page" w:hAnchor="page" w:x="1419" w:y="3284"/>
      <w:tabs>
        <w:tab w:val="clear" w:pos="4201"/>
        <w:tab w:val="clear" w:pos="9298"/>
      </w:tabs>
      <w:wordWrap w:val="0"/>
      <w:spacing w:line="280" w:lineRule="exact"/>
      <w:ind w:firstLine="0" w:firstLineChars="0"/>
      <w:jc w:val="right"/>
    </w:pPr>
    <w:rPr>
      <w:rFonts w:ascii="黑体" w:hAnsi="Times New Roman" w:eastAsia="黑体"/>
      <w:bCs/>
      <w:sz w:val="28"/>
      <w:szCs w:val="28"/>
    </w:rPr>
  </w:style>
  <w:style w:type="paragraph" w:customStyle="1" w:styleId="85">
    <w:name w:val="标准文件_替换文件编号"/>
    <w:basedOn w:val="84"/>
    <w:qFormat/>
    <w:uiPriority w:val="0"/>
    <w:pPr>
      <w:spacing w:before="57"/>
    </w:pPr>
    <w:rPr>
      <w:sz w:val="21"/>
    </w:rPr>
  </w:style>
  <w:style w:type="paragraph" w:customStyle="1" w:styleId="86">
    <w:name w:val="标准文件_字母编号列项（一级）"/>
    <w:qFormat/>
    <w:uiPriority w:val="0"/>
    <w:pPr>
      <w:numPr>
        <w:ilvl w:val="0"/>
        <w:numId w:val="5"/>
      </w:numPr>
      <w:tabs>
        <w:tab w:val="left" w:pos="851"/>
      </w:tabs>
      <w:jc w:val="both"/>
    </w:pPr>
    <w:rPr>
      <w:rFonts w:ascii="宋体" w:hAnsi="Times New Roman" w:eastAsia="宋体" w:cs="Times New Roman"/>
      <w:sz w:val="21"/>
      <w:lang w:val="en-US" w:eastAsia="zh-CN" w:bidi="ar-SA"/>
    </w:rPr>
  </w:style>
  <w:style w:type="paragraph" w:customStyle="1" w:styleId="87">
    <w:name w:val="标准文件_术语条一"/>
    <w:basedOn w:val="1"/>
    <w:next w:val="65"/>
    <w:qFormat/>
    <w:uiPriority w:val="0"/>
    <w:pPr>
      <w:numPr>
        <w:ilvl w:val="2"/>
        <w:numId w:val="2"/>
      </w:numPr>
      <w:tabs>
        <w:tab w:val="clear" w:pos="4201"/>
        <w:tab w:val="clear" w:pos="9298"/>
      </w:tabs>
      <w:autoSpaceDE/>
      <w:autoSpaceDN/>
      <w:ind w:firstLineChars="0"/>
    </w:pPr>
    <w:rPr>
      <w:rFonts w:ascii="黑体" w:hAnsi="黑体" w:eastAsia="黑体" w:cs="黑体"/>
      <w:szCs w:val="21"/>
    </w:rPr>
  </w:style>
  <w:style w:type="paragraph" w:customStyle="1" w:styleId="88">
    <w:name w:val="标准文件_二级条标题"/>
    <w:next w:val="65"/>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89">
    <w:name w:val="标准文件_三级条标题"/>
    <w:basedOn w:val="88"/>
    <w:next w:val="65"/>
    <w:qFormat/>
    <w:uiPriority w:val="0"/>
    <w:pPr>
      <w:widowControl/>
      <w:outlineLvl w:val="3"/>
    </w:pPr>
  </w:style>
  <w:style w:type="paragraph" w:customStyle="1" w:styleId="90">
    <w:name w:val="标准文件_四级条标题"/>
    <w:next w:val="65"/>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91">
    <w:name w:val="标准文件_五级条标题"/>
    <w:next w:val="65"/>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92">
    <w:name w:val="标准文件_章标题"/>
    <w:next w:val="65"/>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93">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94">
    <w:name w:val="标准文件_标准正文"/>
    <w:basedOn w:val="1"/>
    <w:next w:val="1"/>
    <w:qFormat/>
    <w:uiPriority w:val="0"/>
    <w:pPr>
      <w:widowControl w:val="0"/>
      <w:tabs>
        <w:tab w:val="clear" w:pos="4201"/>
        <w:tab w:val="clear" w:pos="9298"/>
      </w:tabs>
      <w:autoSpaceDE/>
      <w:autoSpaceDN/>
      <w:adjustRightInd w:val="0"/>
      <w:snapToGrid w:val="0"/>
      <w:spacing w:line="400" w:lineRule="exact"/>
      <w:ind w:firstLine="200"/>
    </w:pPr>
    <w:rPr>
      <w:rFonts w:ascii="Calibri" w:hAnsi="Calibri"/>
      <w:szCs w:val="21"/>
    </w:rPr>
  </w:style>
  <w:style w:type="paragraph" w:customStyle="1" w:styleId="95">
    <w:name w:val="标准文件_正文公式"/>
    <w:basedOn w:val="1"/>
    <w:next w:val="94"/>
    <w:qFormat/>
    <w:uiPriority w:val="0"/>
    <w:pPr>
      <w:widowControl w:val="0"/>
      <w:tabs>
        <w:tab w:val="center" w:pos="4678"/>
        <w:tab w:val="right" w:leader="middleDot" w:pos="9356"/>
        <w:tab w:val="clear" w:pos="4201"/>
        <w:tab w:val="clear" w:pos="9298"/>
      </w:tabs>
      <w:autoSpaceDE/>
      <w:autoSpaceDN/>
      <w:adjustRightInd w:val="0"/>
      <w:ind w:firstLine="0" w:firstLineChars="0"/>
    </w:pPr>
    <w:rPr>
      <w:kern w:val="2"/>
      <w:szCs w:val="21"/>
    </w:rPr>
  </w:style>
  <w:style w:type="paragraph" w:customStyle="1" w:styleId="96">
    <w:name w:val="修订2"/>
    <w:hidden/>
    <w:semiHidden/>
    <w:qFormat/>
    <w:uiPriority w:val="99"/>
    <w:rPr>
      <w:rFonts w:ascii="宋体" w:hAnsi="宋体" w:eastAsia="宋体" w:cs="Times New Roman"/>
      <w:sz w:val="21"/>
      <w:szCs w:val="22"/>
      <w:lang w:val="en-US" w:eastAsia="zh-CN" w:bidi="ar-SA"/>
    </w:rPr>
  </w:style>
  <w:style w:type="paragraph" w:customStyle="1" w:styleId="97">
    <w:name w:val="Revision"/>
    <w:hidden/>
    <w:semiHidden/>
    <w:qFormat/>
    <w:uiPriority w:val="99"/>
    <w:rPr>
      <w:rFonts w:ascii="宋体" w:hAnsi="宋体"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I%20YIHAN\Desktop\20260408&#12298;&#26408;&#26448;&#38450;&#33104;&#21058;%20&#38108;&#30844;&#21777;-A&#22411;%20&#65288;CBA-A&#65289;&#12299;&#33609;&#26696;(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20260408《木材防腐剂 铜硼唑-A型 （CBA-A）》草案(1)</Template>
  <Pages>10</Pages>
  <Words>4188</Words>
  <Characters>5449</Characters>
  <Lines>293</Lines>
  <Paragraphs>330</Paragraphs>
  <TotalTime>12</TotalTime>
  <ScaleCrop>false</ScaleCrop>
  <LinksUpToDate>false</LinksUpToDate>
  <CharactersWithSpaces>5748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2026-05-20T06:24:00Z</dcterms:created>
  <dc:creator>白乙含</dc:creator>
  <cp:lastModifiedBy>余小溪</cp:lastModifiedBy>
  <dcterms:modified xsi:type="dcterms:W3CDTF">2026-06-15T08:09:41Z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E89DBA0E972E4A519DF0602C978EC241_13</vt:lpwstr>
  </property>
  <property fmtid="{D5CDD505-2E9C-101B-9397-08002B2CF9AE}" pid="4" name="KSOTemplateDocerSaveRecord">
    <vt:lpwstr>eyJoZGlkIjoiM2Y3YzU2ODc4NzlkMzRjNjMwZDJmNDM3YjcwMzFhZWEiLCJ1c2VySWQiOiIxOTk1MjM1NSJ9</vt:lpwstr>
  </property>
</Properties>
</file>